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31D9" w14:textId="0BD5618B" w:rsidR="004665B9" w:rsidRPr="00255220" w:rsidRDefault="004665B9" w:rsidP="004665B9">
      <w:pPr>
        <w:jc w:val="center"/>
      </w:pPr>
      <w:bookmarkStart w:id="0" w:name="_GoBack"/>
      <w:bookmarkEnd w:id="0"/>
      <w:r w:rsidRPr="00255220">
        <w:rPr>
          <w:rFonts w:eastAsia="Times New Roman"/>
        </w:rPr>
        <w:t>Expanding Responsibilities:</w:t>
      </w:r>
      <w:r w:rsidRPr="00255220">
        <w:t xml:space="preserve"> </w:t>
      </w:r>
      <w:r w:rsidR="00E27B1E" w:rsidRPr="00255220">
        <w:t xml:space="preserve">The Consequences of </w:t>
      </w:r>
      <w:r w:rsidR="00527480" w:rsidRPr="00255220">
        <w:t xml:space="preserve">World Bank </w:t>
      </w:r>
      <w:r w:rsidR="000A356D" w:rsidRPr="00255220">
        <w:t xml:space="preserve">and IMF </w:t>
      </w:r>
      <w:r w:rsidR="00527480" w:rsidRPr="00255220">
        <w:t xml:space="preserve">Policies </w:t>
      </w:r>
      <w:r w:rsidR="00D47F38" w:rsidRPr="00255220">
        <w:t>on</w:t>
      </w:r>
      <w:r w:rsidR="00527480" w:rsidRPr="00255220">
        <w:t xml:space="preserve"> Child </w:t>
      </w:r>
      <w:r w:rsidR="00416B48" w:rsidRPr="00255220">
        <w:t>Welfare</w:t>
      </w:r>
    </w:p>
    <w:p w14:paraId="140BC354" w14:textId="77777777" w:rsidR="000A356D" w:rsidRPr="00255220" w:rsidRDefault="000A356D" w:rsidP="004665B9">
      <w:pPr>
        <w:jc w:val="center"/>
        <w:rPr>
          <w:rFonts w:eastAsia="Times New Roman"/>
        </w:rPr>
      </w:pPr>
    </w:p>
    <w:p w14:paraId="1315FF11" w14:textId="77777777" w:rsidR="004665B9" w:rsidRPr="00255220" w:rsidRDefault="004665B9" w:rsidP="004665B9">
      <w:pPr>
        <w:jc w:val="center"/>
      </w:pPr>
      <w:r w:rsidRPr="00255220">
        <w:t>Clair Apodaca</w:t>
      </w:r>
    </w:p>
    <w:p w14:paraId="4DE6D7B6" w14:textId="77777777" w:rsidR="004665B9" w:rsidRPr="00255220" w:rsidRDefault="004665B9" w:rsidP="004665B9">
      <w:pPr>
        <w:jc w:val="center"/>
      </w:pPr>
      <w:r w:rsidRPr="00255220">
        <w:t>Department of Political Science</w:t>
      </w:r>
    </w:p>
    <w:p w14:paraId="2BEE4539" w14:textId="77777777" w:rsidR="004665B9" w:rsidRPr="00255220" w:rsidRDefault="004665B9" w:rsidP="004665B9">
      <w:pPr>
        <w:jc w:val="center"/>
      </w:pPr>
      <w:r w:rsidRPr="00255220">
        <w:t>Virginia Tech</w:t>
      </w:r>
    </w:p>
    <w:p w14:paraId="6EE268F5" w14:textId="77777777" w:rsidR="004665B9" w:rsidRPr="00255220" w:rsidRDefault="008F5D5D" w:rsidP="004665B9">
      <w:pPr>
        <w:jc w:val="center"/>
      </w:pPr>
      <w:hyperlink r:id="rId8" w:history="1">
        <w:r w:rsidR="004665B9" w:rsidRPr="00255220">
          <w:rPr>
            <w:rStyle w:val="Hyperlink"/>
            <w:color w:val="auto"/>
          </w:rPr>
          <w:t>Apodaca@vt.edu</w:t>
        </w:r>
      </w:hyperlink>
    </w:p>
    <w:p w14:paraId="7EE16341" w14:textId="77777777" w:rsidR="004665B9" w:rsidRPr="00255220" w:rsidRDefault="004665B9" w:rsidP="004665B9">
      <w:pPr>
        <w:jc w:val="center"/>
      </w:pPr>
      <w:r w:rsidRPr="00255220">
        <w:t>540-231-5310</w:t>
      </w:r>
    </w:p>
    <w:p w14:paraId="5F03F7A7" w14:textId="77777777" w:rsidR="004665B9" w:rsidRPr="00255220" w:rsidRDefault="004665B9" w:rsidP="004665B9"/>
    <w:p w14:paraId="1AEFDB2E" w14:textId="77777777" w:rsidR="004620B9" w:rsidRPr="004E19C5" w:rsidRDefault="004620B9" w:rsidP="004E19C5">
      <w:pPr>
        <w:spacing w:line="360" w:lineRule="auto"/>
      </w:pPr>
    </w:p>
    <w:p w14:paraId="7D3D3129" w14:textId="3F139061" w:rsidR="009A75F1" w:rsidRPr="004E19C5" w:rsidRDefault="00393FB3" w:rsidP="004E19C5">
      <w:pPr>
        <w:pStyle w:val="NoSpacing"/>
        <w:spacing w:line="360" w:lineRule="auto"/>
        <w:rPr>
          <w:lang w:eastAsia="en-US"/>
        </w:rPr>
      </w:pPr>
      <w:r w:rsidRPr="004E19C5">
        <w:rPr>
          <w:lang w:eastAsia="en-US"/>
        </w:rPr>
        <w:t xml:space="preserve">The child’s right to life is a human right guaranteed by Articles 3 of the 1948 Universal Declaration of Human Rights and Article 6 of the </w:t>
      </w:r>
      <w:r w:rsidR="00AA5C33" w:rsidRPr="004E19C5">
        <w:rPr>
          <w:lang w:eastAsia="en-US"/>
        </w:rPr>
        <w:t xml:space="preserve">1989 </w:t>
      </w:r>
      <w:r w:rsidRPr="004E19C5">
        <w:rPr>
          <w:lang w:eastAsia="en-US"/>
        </w:rPr>
        <w:t xml:space="preserve">Convention on the Rights of the Child. Yet, the World Health Organization </w:t>
      </w:r>
      <w:r w:rsidR="00734904" w:rsidRPr="004E19C5">
        <w:rPr>
          <w:lang w:eastAsia="en-US"/>
        </w:rPr>
        <w:t xml:space="preserve">(2015) </w:t>
      </w:r>
      <w:r w:rsidRPr="004E19C5">
        <w:rPr>
          <w:lang w:eastAsia="en-US"/>
        </w:rPr>
        <w:t>estimates that worldwide there were a total of 6</w:t>
      </w:r>
      <w:r w:rsidR="002A1B1B">
        <w:rPr>
          <w:lang w:eastAsia="en-US"/>
        </w:rPr>
        <w:t>,</w:t>
      </w:r>
      <w:r w:rsidRPr="004E19C5">
        <w:rPr>
          <w:lang w:eastAsia="en-US"/>
        </w:rPr>
        <w:t xml:space="preserve">282 million deaths of children under the age of 5 in 2013. </w:t>
      </w:r>
      <w:r w:rsidR="00E754AB" w:rsidRPr="004E19C5">
        <w:t>T</w:t>
      </w:r>
      <w:r w:rsidR="009C2C0A" w:rsidRPr="004E19C5">
        <w:t>he number of children dying before their fifth birthday, for the 163 countries included in this study, was 75.27 deaths per 1000 live births in 1996. Encouragingly, the child mortality rate dropped to 39.7/1000 in 2013</w:t>
      </w:r>
      <w:r w:rsidR="00E754AB" w:rsidRPr="004E19C5">
        <w:t>,</w:t>
      </w:r>
      <w:r w:rsidR="009C2C0A" w:rsidRPr="004E19C5">
        <w:t xml:space="preserve"> a reduction of nearly 47%.</w:t>
      </w:r>
      <w:r w:rsidR="00FC7CC2" w:rsidRPr="004E19C5">
        <w:t xml:space="preserve"> </w:t>
      </w:r>
      <w:r w:rsidR="004624BA" w:rsidRPr="004E19C5">
        <w:t>However, t</w:t>
      </w:r>
      <w:r w:rsidR="00FC7CC2" w:rsidRPr="004E19C5">
        <w:t>his impressive f</w:t>
      </w:r>
      <w:r w:rsidR="002A1B1B">
        <w:t>igure</w:t>
      </w:r>
      <w:r w:rsidR="00FC7CC2" w:rsidRPr="004E19C5">
        <w:t xml:space="preserve"> obscures the reality that the </w:t>
      </w:r>
      <w:r w:rsidR="0037136F" w:rsidRPr="004E19C5">
        <w:t>weight of child mortality is increasing</w:t>
      </w:r>
      <w:r w:rsidR="002A1B1B">
        <w:t>ly</w:t>
      </w:r>
      <w:r w:rsidR="0037136F" w:rsidRPr="004E19C5">
        <w:t xml:space="preserve"> being concentrated in the </w:t>
      </w:r>
      <w:r w:rsidR="00C700CE" w:rsidRPr="004E19C5">
        <w:t xml:space="preserve">underdeveloped </w:t>
      </w:r>
      <w:r w:rsidR="0037136F" w:rsidRPr="004E19C5">
        <w:t>regions of sub-Saharan Africa and South Asia (</w:t>
      </w:r>
      <w:r w:rsidR="00082414" w:rsidRPr="004E19C5">
        <w:t xml:space="preserve">O’Hare </w:t>
      </w:r>
      <w:r w:rsidR="00800267" w:rsidRPr="004E19C5">
        <w:t>et al.</w:t>
      </w:r>
      <w:r w:rsidR="00B17FA5" w:rsidRPr="004E19C5">
        <w:t>,</w:t>
      </w:r>
      <w:r w:rsidR="00082414" w:rsidRPr="004E19C5">
        <w:t xml:space="preserve"> 2013</w:t>
      </w:r>
      <w:r w:rsidR="0037136F" w:rsidRPr="004E19C5">
        <w:t>)</w:t>
      </w:r>
      <w:r w:rsidR="00082414" w:rsidRPr="004E19C5">
        <w:t>.</w:t>
      </w:r>
      <w:r w:rsidR="00630A98" w:rsidRPr="004E19C5">
        <w:rPr>
          <w:lang w:eastAsia="en-US"/>
        </w:rPr>
        <w:t xml:space="preserve"> </w:t>
      </w:r>
      <w:r w:rsidR="0007755F" w:rsidRPr="004E19C5">
        <w:t>A human rights approach to the child’s right of survival calls on the binding obligation or duty of the states and other duty-bearers to promote, protect and fulfill the right holders’ entitlements.</w:t>
      </w:r>
      <w:r w:rsidR="0007755F" w:rsidRPr="004E19C5">
        <w:rPr>
          <w:spacing w:val="-3"/>
        </w:rPr>
        <w:t xml:space="preserve"> As a human right, the child’s right to life entails a claim on both domestic and international resources, imposing duties on states and international actors.</w:t>
      </w:r>
    </w:p>
    <w:p w14:paraId="0503E6EA" w14:textId="3BD336ED" w:rsidR="00CB6C1E" w:rsidRPr="004E19C5" w:rsidRDefault="00937C46" w:rsidP="004E19C5">
      <w:pPr>
        <w:spacing w:line="360" w:lineRule="auto"/>
        <w:rPr>
          <w:rFonts w:eastAsia="Times New Roman"/>
          <w:lang w:eastAsia="en-US"/>
        </w:rPr>
      </w:pPr>
      <w:r w:rsidRPr="004E19C5">
        <w:rPr>
          <w:lang w:eastAsia="en-US"/>
        </w:rPr>
        <w:tab/>
      </w:r>
      <w:r w:rsidR="005F0F0B" w:rsidRPr="004E19C5">
        <w:rPr>
          <w:lang w:eastAsia="en-US"/>
        </w:rPr>
        <w:t>The World Health Organization (20</w:t>
      </w:r>
      <w:r w:rsidR="00734904" w:rsidRPr="004E19C5">
        <w:rPr>
          <w:lang w:eastAsia="en-US"/>
        </w:rPr>
        <w:t>15</w:t>
      </w:r>
      <w:r w:rsidR="005F0F0B" w:rsidRPr="004E19C5">
        <w:rPr>
          <w:lang w:eastAsia="en-US"/>
        </w:rPr>
        <w:t>) reports that the underlying cause of the majority of these deaths is poverty: living in squalid housing conditions without access to clean water and sanitation facilities</w:t>
      </w:r>
      <w:r w:rsidR="00157ACE" w:rsidRPr="004E19C5">
        <w:rPr>
          <w:lang w:eastAsia="en-US"/>
        </w:rPr>
        <w:t xml:space="preserve"> and limited health care</w:t>
      </w:r>
      <w:r w:rsidR="005F0F0B" w:rsidRPr="004E19C5">
        <w:rPr>
          <w:lang w:eastAsia="en-US"/>
        </w:rPr>
        <w:t>. The key to improving child survival rates is to eliminate extreme poverty.</w:t>
      </w:r>
      <w:r w:rsidR="000A097D" w:rsidRPr="004E19C5">
        <w:t xml:space="preserve"> The World Bank and International Monetary Fund are international financial institutions (IFI) whose stated mission is economic development and poverty eradication.</w:t>
      </w:r>
      <w:r w:rsidR="009A0AFB" w:rsidRPr="004E19C5">
        <w:rPr>
          <w:lang w:eastAsia="en-US"/>
        </w:rPr>
        <w:t xml:space="preserve"> </w:t>
      </w:r>
      <w:r w:rsidR="00E06787" w:rsidRPr="004E19C5">
        <w:rPr>
          <w:lang w:eastAsia="en-US"/>
        </w:rPr>
        <w:t xml:space="preserve">Both the Bank and the IMF have </w:t>
      </w:r>
      <w:r w:rsidR="00E06787" w:rsidRPr="004E19C5">
        <w:rPr>
          <w:rFonts w:eastAsia="Times New Roman"/>
          <w:lang w:eastAsia="en-US"/>
        </w:rPr>
        <w:t xml:space="preserve">endorsed the </w:t>
      </w:r>
      <w:r w:rsidR="00A04D29" w:rsidRPr="004E19C5">
        <w:rPr>
          <w:rFonts w:eastAsia="Times New Roman"/>
          <w:lang w:eastAsia="en-US"/>
        </w:rPr>
        <w:t>M</w:t>
      </w:r>
      <w:r w:rsidR="00A04D29">
        <w:rPr>
          <w:rFonts w:eastAsia="Times New Roman"/>
          <w:lang w:eastAsia="en-US"/>
        </w:rPr>
        <w:t xml:space="preserve">illennium </w:t>
      </w:r>
      <w:r w:rsidR="00E06787" w:rsidRPr="004E19C5">
        <w:rPr>
          <w:rFonts w:eastAsia="Times New Roman"/>
          <w:lang w:eastAsia="en-US"/>
        </w:rPr>
        <w:t>D</w:t>
      </w:r>
      <w:r w:rsidR="00A04D29">
        <w:rPr>
          <w:rFonts w:eastAsia="Times New Roman"/>
          <w:lang w:eastAsia="en-US"/>
        </w:rPr>
        <w:t xml:space="preserve">evelopment </w:t>
      </w:r>
      <w:r w:rsidR="00E06787" w:rsidRPr="004E19C5">
        <w:rPr>
          <w:rFonts w:eastAsia="Times New Roman"/>
          <w:lang w:eastAsia="en-US"/>
        </w:rPr>
        <w:t>G</w:t>
      </w:r>
      <w:r w:rsidR="00A04D29">
        <w:rPr>
          <w:rFonts w:eastAsia="Times New Roman"/>
          <w:lang w:eastAsia="en-US"/>
        </w:rPr>
        <w:t>oals</w:t>
      </w:r>
      <w:r w:rsidR="00E06787" w:rsidRPr="004E19C5">
        <w:rPr>
          <w:rFonts w:eastAsia="Times New Roman"/>
          <w:lang w:eastAsia="en-US"/>
        </w:rPr>
        <w:t xml:space="preserve"> of reducing by two-thirds the mortality rate among children under five (Goal 4). </w:t>
      </w:r>
      <w:r w:rsidR="009A0AFB" w:rsidRPr="004E19C5">
        <w:rPr>
          <w:lang w:eastAsia="en-US"/>
        </w:rPr>
        <w:t>The lending decisions of the Bank and IMF can greatly influence, directly or indirectly, the realization of the child’s right of survival.</w:t>
      </w:r>
      <w:r w:rsidR="00E662D2" w:rsidRPr="004E19C5">
        <w:rPr>
          <w:lang w:eastAsia="en-US"/>
        </w:rPr>
        <w:t xml:space="preserve"> IFI loans come with conditions that can interfere with the ability of the recipient state to fulfill </w:t>
      </w:r>
      <w:r w:rsidR="00D144DD">
        <w:rPr>
          <w:lang w:eastAsia="en-US"/>
        </w:rPr>
        <w:t>its</w:t>
      </w:r>
      <w:r w:rsidR="00E662D2" w:rsidRPr="004E19C5">
        <w:rPr>
          <w:lang w:eastAsia="en-US"/>
        </w:rPr>
        <w:t xml:space="preserve"> human rights obligations to the child.</w:t>
      </w:r>
      <w:r w:rsidR="000F5F92" w:rsidRPr="004E19C5">
        <w:rPr>
          <w:lang w:eastAsia="en-US"/>
        </w:rPr>
        <w:t xml:space="preserve"> </w:t>
      </w:r>
      <w:r w:rsidR="00CB6C1E" w:rsidRPr="004E19C5">
        <w:rPr>
          <w:rFonts w:eastAsia="Times New Roman"/>
          <w:lang w:eastAsia="en-US"/>
        </w:rPr>
        <w:t xml:space="preserve">Conditionalities are intended to </w:t>
      </w:r>
      <w:r w:rsidRPr="004E19C5">
        <w:rPr>
          <w:rFonts w:eastAsia="Times New Roman"/>
          <w:lang w:eastAsia="en-US"/>
        </w:rPr>
        <w:t xml:space="preserve">restore </w:t>
      </w:r>
      <w:r w:rsidRPr="004E19C5">
        <w:rPr>
          <w:lang w:eastAsia="en-US"/>
        </w:rPr>
        <w:lastRenderedPageBreak/>
        <w:t xml:space="preserve">macroeconomic stability and </w:t>
      </w:r>
      <w:r w:rsidR="00CB6C1E" w:rsidRPr="004E19C5">
        <w:rPr>
          <w:rFonts w:eastAsia="Times New Roman"/>
          <w:lang w:eastAsia="en-US"/>
        </w:rPr>
        <w:t>solve the balance of payment problems to ensure that the loan recipient can repay the lending institution. However, many analysts believe that conditionalities increase poverty and worsen income distribution</w:t>
      </w:r>
      <w:r w:rsidR="00D144DD">
        <w:rPr>
          <w:rFonts w:eastAsia="Times New Roman"/>
          <w:lang w:eastAsia="en-US"/>
        </w:rPr>
        <w:t>,</w:t>
      </w:r>
      <w:r w:rsidR="00CB6C1E" w:rsidRPr="004E19C5">
        <w:rPr>
          <w:rFonts w:eastAsia="Times New Roman"/>
          <w:lang w:eastAsia="en-US"/>
        </w:rPr>
        <w:t xml:space="preserve"> at least in the short term.</w:t>
      </w:r>
      <w:r w:rsidR="00A523C6" w:rsidRPr="004E19C5">
        <w:rPr>
          <w:rFonts w:eastAsia="Times New Roman"/>
          <w:lang w:eastAsia="en-US"/>
        </w:rPr>
        <w:t xml:space="preserve"> The requirements that recipient countries reduce government expenditures by making cuts to their social welfare spending along with the introduction of user fees in health sectors degrade the wellbeing of children when their parents c</w:t>
      </w:r>
      <w:r w:rsidR="00D144DD">
        <w:rPr>
          <w:rFonts w:eastAsia="Times New Roman"/>
          <w:lang w:eastAsia="en-US"/>
        </w:rPr>
        <w:t>an</w:t>
      </w:r>
      <w:r w:rsidR="00A523C6" w:rsidRPr="004E19C5">
        <w:rPr>
          <w:rFonts w:eastAsia="Times New Roman"/>
          <w:lang w:eastAsia="en-US"/>
        </w:rPr>
        <w:t>not afford</w:t>
      </w:r>
      <w:r w:rsidR="00D144DD">
        <w:rPr>
          <w:rFonts w:eastAsia="Times New Roman"/>
          <w:lang w:eastAsia="en-US"/>
        </w:rPr>
        <w:t xml:space="preserve"> to seek medical treatment for</w:t>
      </w:r>
      <w:r w:rsidR="00A523C6" w:rsidRPr="004E19C5">
        <w:rPr>
          <w:rFonts w:eastAsia="Times New Roman"/>
          <w:lang w:eastAsia="en-US"/>
        </w:rPr>
        <w:t xml:space="preserve"> ill children or </w:t>
      </w:r>
      <w:r w:rsidR="00D144DD">
        <w:rPr>
          <w:rFonts w:eastAsia="Times New Roman"/>
          <w:lang w:eastAsia="en-US"/>
        </w:rPr>
        <w:t xml:space="preserve">to seek </w:t>
      </w:r>
      <w:r w:rsidR="00A523C6" w:rsidRPr="004E19C5">
        <w:rPr>
          <w:rFonts w:eastAsia="Times New Roman"/>
          <w:lang w:eastAsia="en-US"/>
        </w:rPr>
        <w:t>preventive care for healthy children.</w:t>
      </w:r>
      <w:r w:rsidR="004743E7" w:rsidRPr="004E19C5">
        <w:rPr>
          <w:lang w:eastAsia="en-US"/>
        </w:rPr>
        <w:t xml:space="preserve"> </w:t>
      </w:r>
      <w:r w:rsidR="00630A98" w:rsidRPr="004E19C5">
        <w:rPr>
          <w:lang w:eastAsia="en-US"/>
        </w:rPr>
        <w:t>Low levels of government investment in social welfare sectors contribute</w:t>
      </w:r>
      <w:r w:rsidR="004743E7" w:rsidRPr="004E19C5">
        <w:rPr>
          <w:lang w:eastAsia="en-US"/>
        </w:rPr>
        <w:t xml:space="preserve"> to an increase in child mortality in the developing countries.</w:t>
      </w:r>
      <w:r w:rsidR="00DE75BF" w:rsidRPr="004E19C5">
        <w:rPr>
          <w:lang w:eastAsia="en-US"/>
        </w:rPr>
        <w:t xml:space="preserve"> </w:t>
      </w:r>
    </w:p>
    <w:p w14:paraId="4D80B165" w14:textId="77777777" w:rsidR="00240C8A" w:rsidRPr="004E19C5" w:rsidRDefault="00240C8A" w:rsidP="004E19C5">
      <w:pPr>
        <w:pStyle w:val="NoSpacing"/>
        <w:spacing w:line="360" w:lineRule="auto"/>
        <w:rPr>
          <w:lang w:eastAsia="en-US"/>
        </w:rPr>
      </w:pPr>
    </w:p>
    <w:p w14:paraId="2BAB299F" w14:textId="4B1900A6" w:rsidR="00650FC0" w:rsidRPr="004E19C5" w:rsidRDefault="000C20B3" w:rsidP="004E19C5">
      <w:pPr>
        <w:spacing w:line="360" w:lineRule="auto"/>
      </w:pPr>
      <w:r w:rsidRPr="004E19C5">
        <w:t xml:space="preserve">IFI </w:t>
      </w:r>
      <w:r w:rsidR="0013743E" w:rsidRPr="004E19C5">
        <w:t>OBLIGATIONS</w:t>
      </w:r>
    </w:p>
    <w:p w14:paraId="23CBFE89" w14:textId="74BF1793" w:rsidR="008D7049" w:rsidRPr="004E19C5" w:rsidRDefault="007D1433" w:rsidP="004E19C5">
      <w:pPr>
        <w:spacing w:line="360" w:lineRule="auto"/>
      </w:pPr>
      <w:r w:rsidRPr="004E19C5">
        <w:t>The Bank</w:t>
      </w:r>
      <w:r w:rsidR="005D7676" w:rsidRPr="004E19C5">
        <w:t xml:space="preserve"> and the IMF </w:t>
      </w:r>
      <w:r w:rsidRPr="004E19C5">
        <w:t xml:space="preserve">claimed that they </w:t>
      </w:r>
      <w:r w:rsidR="005D7676" w:rsidRPr="004E19C5">
        <w:t>were</w:t>
      </w:r>
      <w:r w:rsidRPr="004E19C5">
        <w:t xml:space="preserve"> exempt from obligations emanating from human rights treaties, including the Convention on the Rights of the Child, because of the political neutrality clauses found in </w:t>
      </w:r>
      <w:r w:rsidR="005D7676" w:rsidRPr="004E19C5">
        <w:t>their</w:t>
      </w:r>
      <w:r w:rsidRPr="004E19C5">
        <w:t xml:space="preserve"> respective Articles of Agreement.</w:t>
      </w:r>
      <w:r w:rsidRPr="004E19C5">
        <w:rPr>
          <w:rStyle w:val="EndnoteReference"/>
        </w:rPr>
        <w:endnoteReference w:id="1"/>
      </w:r>
      <w:r w:rsidR="003B12B8" w:rsidRPr="004E19C5">
        <w:t xml:space="preserve"> </w:t>
      </w:r>
      <w:r w:rsidR="005E6B97" w:rsidRPr="004E19C5">
        <w:t xml:space="preserve">Yet, there is a growing awareness among academics, international lawyers, and UN human rights agencies that </w:t>
      </w:r>
      <w:r w:rsidR="005D7676" w:rsidRPr="004E19C5">
        <w:t>IFIs</w:t>
      </w:r>
      <w:r w:rsidR="00F12222" w:rsidRPr="004E19C5">
        <w:t xml:space="preserve"> </w:t>
      </w:r>
      <w:r w:rsidR="00240C8A" w:rsidRPr="004E19C5">
        <w:t xml:space="preserve">do </w:t>
      </w:r>
      <w:r w:rsidR="005E6B97" w:rsidRPr="004E19C5">
        <w:t>have an</w:t>
      </w:r>
      <w:r w:rsidR="00F12222" w:rsidRPr="004E19C5">
        <w:t xml:space="preserve"> obligation to protect and promote human rights</w:t>
      </w:r>
      <w:r w:rsidR="005E6B97" w:rsidRPr="004E19C5">
        <w:t>.</w:t>
      </w:r>
      <w:r w:rsidR="00F12222" w:rsidRPr="004E19C5">
        <w:t xml:space="preserve"> </w:t>
      </w:r>
      <w:r w:rsidR="005D7676" w:rsidRPr="004E19C5">
        <w:t>IFIs are</w:t>
      </w:r>
      <w:r w:rsidR="008D7049" w:rsidRPr="004E19C5">
        <w:t xml:space="preserve"> subject to human rights obligations on several fronts: </w:t>
      </w:r>
    </w:p>
    <w:p w14:paraId="1772C921" w14:textId="34A11D9A" w:rsidR="008D7049" w:rsidRPr="004E19C5" w:rsidRDefault="008D7049" w:rsidP="004E19C5">
      <w:pPr>
        <w:spacing w:line="360" w:lineRule="auto"/>
        <w:rPr>
          <w:rFonts w:eastAsia="Times New Roman"/>
          <w:shd w:val="clear" w:color="auto" w:fill="FFFFFF"/>
          <w:lang w:eastAsia="en-US"/>
        </w:rPr>
      </w:pPr>
      <w:r w:rsidRPr="004E19C5">
        <w:t>1) The Bank</w:t>
      </w:r>
      <w:r w:rsidR="0080549F" w:rsidRPr="004E19C5">
        <w:t xml:space="preserve"> and IMF are specialized agencies</w:t>
      </w:r>
      <w:r w:rsidRPr="004E19C5">
        <w:t xml:space="preserve"> of the U</w:t>
      </w:r>
      <w:r w:rsidR="0080549F" w:rsidRPr="004E19C5">
        <w:t>N family</w:t>
      </w:r>
      <w:r w:rsidRPr="004E19C5">
        <w:t xml:space="preserve">. </w:t>
      </w:r>
      <w:r w:rsidR="0080549F" w:rsidRPr="004E19C5">
        <w:t>As</w:t>
      </w:r>
      <w:r w:rsidRPr="004E19C5">
        <w:t xml:space="preserve"> member</w:t>
      </w:r>
      <w:r w:rsidR="0080549F" w:rsidRPr="004E19C5">
        <w:t>s</w:t>
      </w:r>
      <w:r w:rsidRPr="004E19C5">
        <w:t xml:space="preserve"> of the UN family of specialized agencies</w:t>
      </w:r>
      <w:r w:rsidR="008A6B5E">
        <w:t>,</w:t>
      </w:r>
      <w:r w:rsidRPr="004E19C5">
        <w:t xml:space="preserve"> </w:t>
      </w:r>
      <w:r w:rsidR="0080549F" w:rsidRPr="004E19C5">
        <w:t>they are</w:t>
      </w:r>
      <w:r w:rsidRPr="004E19C5">
        <w:t xml:space="preserve"> </w:t>
      </w:r>
      <w:r w:rsidR="0080549F" w:rsidRPr="004E19C5">
        <w:t>bound by the UN Charte</w:t>
      </w:r>
      <w:r w:rsidRPr="004E19C5">
        <w:t>r</w:t>
      </w:r>
      <w:r w:rsidR="0080549F" w:rsidRPr="004E19C5">
        <w:t xml:space="preserve"> and are r</w:t>
      </w:r>
      <w:r w:rsidRPr="004E19C5">
        <w:t>equired to uphold the mission and purpose of the United Nations.</w:t>
      </w:r>
      <w:r w:rsidRPr="004E19C5">
        <w:rPr>
          <w:rStyle w:val="EndnoteReference"/>
        </w:rPr>
        <w:endnoteReference w:id="2"/>
      </w:r>
      <w:r w:rsidR="0080549F" w:rsidRPr="004E19C5">
        <w:t xml:space="preserve"> </w:t>
      </w:r>
      <w:r w:rsidRPr="004E19C5">
        <w:rPr>
          <w:rFonts w:eastAsia="Times New Roman"/>
          <w:shd w:val="clear" w:color="auto" w:fill="FFFFFF"/>
          <w:lang w:eastAsia="en-US"/>
        </w:rPr>
        <w:t xml:space="preserve">Mac Darrow, in his influential book </w:t>
      </w:r>
      <w:r w:rsidRPr="004E19C5">
        <w:rPr>
          <w:rFonts w:eastAsia="Times New Roman"/>
          <w:i/>
          <w:shd w:val="clear" w:color="auto" w:fill="FFFFFF"/>
          <w:lang w:eastAsia="en-US"/>
        </w:rPr>
        <w:t>Between Light and Shadow: The World Bank, the International Monetary Fund and International Human Rights</w:t>
      </w:r>
      <w:r w:rsidRPr="004E19C5">
        <w:rPr>
          <w:rFonts w:eastAsia="Times New Roman"/>
          <w:shd w:val="clear" w:color="auto" w:fill="FFFFFF"/>
          <w:lang w:eastAsia="en-US"/>
        </w:rPr>
        <w:t xml:space="preserve">, believes that the UN Charter is an important source of human rights obligations for the </w:t>
      </w:r>
      <w:r w:rsidR="00CC1E6E" w:rsidRPr="004E19C5">
        <w:rPr>
          <w:rFonts w:eastAsia="Times New Roman"/>
          <w:shd w:val="clear" w:color="auto" w:fill="FFFFFF"/>
          <w:lang w:eastAsia="en-US"/>
        </w:rPr>
        <w:t>IFIs</w:t>
      </w:r>
      <w:r w:rsidRPr="004E19C5">
        <w:rPr>
          <w:rFonts w:eastAsia="Times New Roman"/>
          <w:shd w:val="clear" w:color="auto" w:fill="FFFFFF"/>
          <w:lang w:eastAsia="en-US"/>
        </w:rPr>
        <w:t xml:space="preserve">. </w:t>
      </w:r>
      <w:r w:rsidRPr="004E19C5">
        <w:t xml:space="preserve">Chief among the goals of the UN is </w:t>
      </w:r>
      <w:r w:rsidR="008A6B5E">
        <w:t>to</w:t>
      </w:r>
      <w:r w:rsidRPr="004E19C5">
        <w:t xml:space="preserve"> </w:t>
      </w:r>
      <w:r w:rsidR="009A7F2D" w:rsidRPr="004E19C5">
        <w:t>‘</w:t>
      </w:r>
      <w:r w:rsidRPr="004E19C5">
        <w:t>achieve international co-operation in solving international problems of an economic, social, cultural, or humanitarian character, and in promoting and encouraging respect for human rights and for fundamental freedoms for all without distinction as to race, sex, language, or religion</w:t>
      </w:r>
      <w:r w:rsidR="009A7F2D" w:rsidRPr="004E19C5">
        <w:t>’</w:t>
      </w:r>
      <w:r w:rsidRPr="004E19C5">
        <w:t xml:space="preserve"> (1945</w:t>
      </w:r>
      <w:r w:rsidR="00B17FA5" w:rsidRPr="004E19C5">
        <w:t>,</w:t>
      </w:r>
      <w:r w:rsidRPr="004E19C5">
        <w:t xml:space="preserve"> Article 1(3)). United Nations agencies cannot ignore nor negate the purposes of the UN Charter, which expressly and unconditionally </w:t>
      </w:r>
      <w:r w:rsidR="008A6B5E">
        <w:t>promotes</w:t>
      </w:r>
      <w:r w:rsidRPr="004E19C5">
        <w:t xml:space="preserve"> human rights</w:t>
      </w:r>
      <w:r w:rsidR="008A6B5E">
        <w:t>,</w:t>
      </w:r>
      <w:r w:rsidR="0092221C" w:rsidRPr="004E19C5">
        <w:t xml:space="preserve"> including the rights of children.</w:t>
      </w:r>
      <w:r w:rsidRPr="004E19C5">
        <w:t xml:space="preserve"> </w:t>
      </w:r>
      <w:r w:rsidR="0036592E" w:rsidRPr="004E19C5">
        <w:rPr>
          <w:rFonts w:eastAsia="Times New Roman"/>
          <w:shd w:val="clear" w:color="auto" w:fill="FFFFFF"/>
          <w:lang w:eastAsia="en-US"/>
        </w:rPr>
        <w:t>Human rights law</w:t>
      </w:r>
      <w:r w:rsidR="008A6B5E">
        <w:rPr>
          <w:rFonts w:eastAsia="Times New Roman"/>
          <w:shd w:val="clear" w:color="auto" w:fill="FFFFFF"/>
          <w:lang w:eastAsia="en-US"/>
        </w:rPr>
        <w:t>,</w:t>
      </w:r>
      <w:r w:rsidR="0036592E" w:rsidRPr="004E19C5">
        <w:rPr>
          <w:rFonts w:eastAsia="Times New Roman"/>
          <w:shd w:val="clear" w:color="auto" w:fill="FFFFFF"/>
          <w:lang w:eastAsia="en-US"/>
        </w:rPr>
        <w:t xml:space="preserve"> therefore, binds international financial institutions</w:t>
      </w:r>
      <w:r w:rsidRPr="004E19C5">
        <w:rPr>
          <w:rFonts w:eastAsia="Times New Roman"/>
          <w:shd w:val="clear" w:color="auto" w:fill="FFFFFF"/>
          <w:lang w:eastAsia="en-US"/>
        </w:rPr>
        <w:t>.</w:t>
      </w:r>
      <w:r w:rsidRPr="004E19C5">
        <w:rPr>
          <w:rFonts w:eastAsiaTheme="minorEastAsia"/>
          <w:lang w:eastAsia="en-US"/>
        </w:rPr>
        <w:t xml:space="preserve"> </w:t>
      </w:r>
    </w:p>
    <w:p w14:paraId="76C7755C" w14:textId="7860349F" w:rsidR="008D7049" w:rsidRPr="004E19C5" w:rsidRDefault="008D7049" w:rsidP="004E19C5">
      <w:pPr>
        <w:spacing w:line="360" w:lineRule="auto"/>
        <w:rPr>
          <w:rFonts w:eastAsiaTheme="minorEastAsia"/>
          <w:lang w:eastAsia="en-US"/>
        </w:rPr>
      </w:pPr>
      <w:r w:rsidRPr="004E19C5">
        <w:t xml:space="preserve">2) </w:t>
      </w:r>
      <w:r w:rsidR="00C9081D" w:rsidRPr="004E19C5">
        <w:t>Both IFIs have an international legal personality and</w:t>
      </w:r>
      <w:r w:rsidR="00CC1E6E" w:rsidRPr="004E19C5">
        <w:t xml:space="preserve"> are</w:t>
      </w:r>
      <w:r w:rsidRPr="004E19C5">
        <w:t xml:space="preserve"> autonomous subject</w:t>
      </w:r>
      <w:r w:rsidR="00C9081D" w:rsidRPr="004E19C5">
        <w:t>s</w:t>
      </w:r>
      <w:r w:rsidRPr="004E19C5">
        <w:t xml:space="preserve"> of international law with rights and duties</w:t>
      </w:r>
      <w:r w:rsidR="001C676B">
        <w:t>. T</w:t>
      </w:r>
      <w:r w:rsidRPr="004E19C5">
        <w:t xml:space="preserve">herefore, </w:t>
      </w:r>
      <w:r w:rsidR="001C676B">
        <w:t xml:space="preserve">they are bound by </w:t>
      </w:r>
      <w:r w:rsidR="001967C5" w:rsidRPr="004E19C5">
        <w:t xml:space="preserve">the general principles of international law, peremptory norms, and norms </w:t>
      </w:r>
      <w:r w:rsidR="001C676B">
        <w:t xml:space="preserve">derived from </w:t>
      </w:r>
      <w:r w:rsidR="001967C5" w:rsidRPr="004E19C5">
        <w:t>customary law</w:t>
      </w:r>
      <w:r w:rsidR="001C676B">
        <w:t>,</w:t>
      </w:r>
      <w:r w:rsidR="001967C5" w:rsidRPr="004E19C5">
        <w:t xml:space="preserve"> including the Universal Declaration of Human Rights.</w:t>
      </w:r>
      <w:r w:rsidRPr="004E19C5">
        <w:t xml:space="preserve"> </w:t>
      </w:r>
      <w:r w:rsidRPr="004E19C5">
        <w:rPr>
          <w:rFonts w:eastAsiaTheme="minorEastAsia"/>
          <w:lang w:eastAsia="en-US"/>
        </w:rPr>
        <w:t>Van Genugten, a renown</w:t>
      </w:r>
      <w:r w:rsidR="001C676B">
        <w:rPr>
          <w:rFonts w:eastAsiaTheme="minorEastAsia"/>
          <w:lang w:eastAsia="en-US"/>
        </w:rPr>
        <w:t>ed</w:t>
      </w:r>
      <w:r w:rsidRPr="004E19C5">
        <w:rPr>
          <w:rFonts w:eastAsiaTheme="minorEastAsia"/>
          <w:lang w:eastAsia="en-US"/>
        </w:rPr>
        <w:t xml:space="preserve"> professor of international law, writes </w:t>
      </w:r>
      <w:r w:rsidR="001C676B">
        <w:rPr>
          <w:rFonts w:eastAsiaTheme="minorEastAsia"/>
          <w:lang w:eastAsia="en-US"/>
        </w:rPr>
        <w:t xml:space="preserve">that </w:t>
      </w:r>
      <w:r w:rsidR="009A7F2D" w:rsidRPr="004E19C5">
        <w:rPr>
          <w:rFonts w:eastAsiaTheme="minorEastAsia"/>
          <w:lang w:eastAsia="en-US"/>
        </w:rPr>
        <w:t>‘</w:t>
      </w:r>
      <w:r w:rsidRPr="004E19C5">
        <w:rPr>
          <w:rFonts w:eastAsiaTheme="minorEastAsia"/>
          <w:lang w:eastAsia="en-US"/>
        </w:rPr>
        <w:t>as subjects of international law and as international legal personalities, the WBG and the IMF are capable of possessing rights and duties under their constituent instruments, general rules of international law, and the treaties to which they have acceded</w:t>
      </w:r>
      <w:r w:rsidR="001C676B">
        <w:rPr>
          <w:rFonts w:eastAsiaTheme="minorEastAsia"/>
          <w:lang w:eastAsia="en-US"/>
        </w:rPr>
        <w:t>’</w:t>
      </w:r>
      <w:r w:rsidRPr="004E19C5">
        <w:rPr>
          <w:rFonts w:eastAsiaTheme="minorEastAsia"/>
          <w:lang w:eastAsia="en-US"/>
        </w:rPr>
        <w:t xml:space="preserve"> (2015</w:t>
      </w:r>
      <w:r w:rsidR="00814299" w:rsidRPr="004E19C5">
        <w:rPr>
          <w:rFonts w:eastAsiaTheme="minorEastAsia"/>
          <w:lang w:eastAsia="en-US"/>
        </w:rPr>
        <w:t>,</w:t>
      </w:r>
      <w:r w:rsidRPr="004E19C5">
        <w:rPr>
          <w:rFonts w:eastAsiaTheme="minorEastAsia"/>
          <w:lang w:eastAsia="en-US"/>
        </w:rPr>
        <w:t xml:space="preserve"> 9). </w:t>
      </w:r>
      <w:r w:rsidR="001967C5" w:rsidRPr="004E19C5">
        <w:t xml:space="preserve">Thus, </w:t>
      </w:r>
      <w:r w:rsidRPr="004E19C5">
        <w:t>Van Genugten (2015) concludes</w:t>
      </w:r>
      <w:r w:rsidR="001C676B">
        <w:t xml:space="preserve"> that</w:t>
      </w:r>
      <w:r w:rsidRPr="004E19C5">
        <w:t xml:space="preserve"> the </w:t>
      </w:r>
      <w:r w:rsidR="00CC1E6E" w:rsidRPr="004E19C5">
        <w:t xml:space="preserve">IFIs </w:t>
      </w:r>
      <w:r w:rsidRPr="004E19C5">
        <w:t>ha</w:t>
      </w:r>
      <w:r w:rsidR="00CC1E6E" w:rsidRPr="004E19C5">
        <w:t>ve</w:t>
      </w:r>
      <w:r w:rsidRPr="004E19C5">
        <w:t xml:space="preserve"> obligations for human rights that must be satisfied either separately from or jointly with their member states. </w:t>
      </w:r>
    </w:p>
    <w:p w14:paraId="210FFE7D" w14:textId="1E5F19C7" w:rsidR="008D7049" w:rsidRPr="004E19C5" w:rsidRDefault="008D7049" w:rsidP="004E19C5">
      <w:pPr>
        <w:spacing w:line="360" w:lineRule="auto"/>
        <w:rPr>
          <w:rFonts w:eastAsiaTheme="minorEastAsia"/>
          <w:lang w:eastAsia="en-US"/>
        </w:rPr>
      </w:pPr>
      <w:r w:rsidRPr="004E19C5">
        <w:t xml:space="preserve">3) The Bank </w:t>
      </w:r>
      <w:r w:rsidR="00CC1E6E" w:rsidRPr="004E19C5">
        <w:t>and IMF are</w:t>
      </w:r>
      <w:r w:rsidRPr="004E19C5">
        <w:t xml:space="preserve"> bound by the obligations of </w:t>
      </w:r>
      <w:r w:rsidR="00CC1E6E" w:rsidRPr="004E19C5">
        <w:t>their</w:t>
      </w:r>
      <w:r w:rsidRPr="004E19C5">
        <w:t xml:space="preserve"> constituent member states. Although the Bank</w:t>
      </w:r>
      <w:r w:rsidR="00CC1E6E" w:rsidRPr="004E19C5">
        <w:t xml:space="preserve"> and IMF</w:t>
      </w:r>
      <w:r w:rsidRPr="004E19C5">
        <w:t xml:space="preserve"> </w:t>
      </w:r>
      <w:r w:rsidR="00CC1E6E" w:rsidRPr="004E19C5">
        <w:t>are</w:t>
      </w:r>
      <w:r w:rsidRPr="004E19C5">
        <w:t xml:space="preserve"> not part</w:t>
      </w:r>
      <w:r w:rsidR="00CC1E6E" w:rsidRPr="004E19C5">
        <w:t>ies</w:t>
      </w:r>
      <w:r w:rsidRPr="004E19C5">
        <w:t xml:space="preserve"> to international treaties, </w:t>
      </w:r>
      <w:r w:rsidR="00CC1E6E" w:rsidRPr="004E19C5">
        <w:t>they are</w:t>
      </w:r>
      <w:r w:rsidRPr="004E19C5">
        <w:t xml:space="preserve"> bound indirectly since </w:t>
      </w:r>
      <w:r w:rsidR="00674192" w:rsidRPr="004E19C5">
        <w:t>they are</w:t>
      </w:r>
      <w:r w:rsidRPr="004E19C5">
        <w:t xml:space="preserve"> composed of states that are bound by the treaties they have ratified. The Bank </w:t>
      </w:r>
      <w:r w:rsidR="00CC1E6E" w:rsidRPr="004E19C5">
        <w:t>and IMF are</w:t>
      </w:r>
      <w:r w:rsidRPr="004E19C5">
        <w:t xml:space="preserve"> </w:t>
      </w:r>
      <w:r w:rsidR="00E16754" w:rsidRPr="004E19C5">
        <w:t>compelled</w:t>
      </w:r>
      <w:r w:rsidRPr="004E19C5">
        <w:t xml:space="preserve"> to respect the treaty provisions </w:t>
      </w:r>
      <w:r w:rsidR="00E16754" w:rsidRPr="004E19C5">
        <w:t xml:space="preserve">and human rights obligations </w:t>
      </w:r>
      <w:r w:rsidRPr="004E19C5">
        <w:t>of their member states</w:t>
      </w:r>
      <w:r w:rsidR="00853CAB" w:rsidRPr="004E19C5">
        <w:t>,</w:t>
      </w:r>
      <w:r w:rsidRPr="004E19C5">
        <w:t xml:space="preserve"> and </w:t>
      </w:r>
      <w:r w:rsidR="001C676B">
        <w:t xml:space="preserve">they </w:t>
      </w:r>
      <w:r w:rsidRPr="004E19C5">
        <w:t xml:space="preserve">have a duty to help the states fulfill their obligations. </w:t>
      </w:r>
      <w:r w:rsidRPr="004E19C5">
        <w:rPr>
          <w:rFonts w:eastAsiaTheme="minorEastAsia"/>
          <w:lang w:eastAsia="en-US"/>
        </w:rPr>
        <w:t xml:space="preserve">The Bank acknowledges that human rights are </w:t>
      </w:r>
      <w:r w:rsidR="009A7F2D" w:rsidRPr="004E19C5">
        <w:rPr>
          <w:rFonts w:eastAsiaTheme="minorEastAsia"/>
          <w:lang w:eastAsia="en-US"/>
        </w:rPr>
        <w:t>‘</w:t>
      </w:r>
      <w:r w:rsidRPr="004E19C5">
        <w:rPr>
          <w:rFonts w:eastAsiaTheme="minorEastAsia"/>
          <w:lang w:eastAsia="en-US"/>
        </w:rPr>
        <w:t xml:space="preserve">actionable legal obligations …. as they are enshrined in national </w:t>
      </w:r>
      <w:r w:rsidRPr="004E19C5">
        <w:rPr>
          <w:rFonts w:eastAsia="Times New Roman"/>
          <w:lang w:eastAsia="en-US"/>
        </w:rPr>
        <w:t>laws, where the Bank's role is to support its members to fulfill those obligations where they relate to World Bank projects and policies</w:t>
      </w:r>
      <w:r w:rsidR="009A7F2D" w:rsidRPr="004E19C5">
        <w:rPr>
          <w:rFonts w:eastAsia="Times New Roman"/>
          <w:lang w:eastAsia="en-US"/>
        </w:rPr>
        <w:t>’</w:t>
      </w:r>
      <w:r w:rsidRPr="004E19C5">
        <w:rPr>
          <w:rFonts w:eastAsia="Times New Roman"/>
          <w:lang w:eastAsia="en-US"/>
        </w:rPr>
        <w:t xml:space="preserve"> (website).</w:t>
      </w:r>
      <w:r w:rsidRPr="004E19C5">
        <w:rPr>
          <w:rFonts w:eastAsiaTheme="minorEastAsia"/>
          <w:lang w:eastAsia="en-US"/>
        </w:rPr>
        <w:t xml:space="preserve"> </w:t>
      </w:r>
      <w:r w:rsidRPr="004E19C5">
        <w:t>Darrow</w:t>
      </w:r>
      <w:r w:rsidRPr="004E19C5">
        <w:rPr>
          <w:rFonts w:eastAsia="Times New Roman"/>
          <w:shd w:val="clear" w:color="auto" w:fill="FFFFFF"/>
          <w:lang w:eastAsia="en-US"/>
        </w:rPr>
        <w:t xml:space="preserve"> (200</w:t>
      </w:r>
      <w:r w:rsidR="00B87861" w:rsidRPr="004E19C5">
        <w:rPr>
          <w:rFonts w:eastAsia="Times New Roman"/>
          <w:shd w:val="clear" w:color="auto" w:fill="FFFFFF"/>
          <w:lang w:eastAsia="en-US"/>
        </w:rPr>
        <w:t>6</w:t>
      </w:r>
      <w:r w:rsidRPr="004E19C5">
        <w:rPr>
          <w:rFonts w:eastAsia="Times New Roman"/>
          <w:shd w:val="clear" w:color="auto" w:fill="FFFFFF"/>
          <w:lang w:eastAsia="en-US"/>
        </w:rPr>
        <w:t xml:space="preserve">) states that the </w:t>
      </w:r>
      <w:r w:rsidR="00CC1E6E" w:rsidRPr="004E19C5">
        <w:rPr>
          <w:rFonts w:eastAsia="Times New Roman"/>
          <w:shd w:val="clear" w:color="auto" w:fill="FFFFFF"/>
          <w:lang w:eastAsia="en-US"/>
        </w:rPr>
        <w:t>IFIs have</w:t>
      </w:r>
      <w:r w:rsidRPr="004E19C5">
        <w:rPr>
          <w:rFonts w:eastAsia="Times New Roman"/>
          <w:shd w:val="clear" w:color="auto" w:fill="FFFFFF"/>
          <w:lang w:eastAsia="en-US"/>
        </w:rPr>
        <w:t xml:space="preserve">, as a minimum obligation, to respect and not violate the human rights responsibilities of </w:t>
      </w:r>
      <w:r w:rsidR="001C676B">
        <w:rPr>
          <w:rFonts w:eastAsia="Times New Roman"/>
          <w:shd w:val="clear" w:color="auto" w:fill="FFFFFF"/>
          <w:lang w:eastAsia="en-US"/>
        </w:rPr>
        <w:t>their</w:t>
      </w:r>
      <w:r w:rsidRPr="004E19C5">
        <w:rPr>
          <w:rFonts w:eastAsia="Times New Roman"/>
          <w:shd w:val="clear" w:color="auto" w:fill="FFFFFF"/>
          <w:lang w:eastAsia="en-US"/>
        </w:rPr>
        <w:t xml:space="preserve"> members. </w:t>
      </w:r>
      <w:r w:rsidR="00CE1F3E" w:rsidRPr="004E19C5">
        <w:rPr>
          <w:rFonts w:eastAsiaTheme="minorEastAsia"/>
          <w:lang w:eastAsia="en-US"/>
        </w:rPr>
        <w:t>States maintain their human rights obligations as members of an international organization. In the respected opinion of Byrnes</w:t>
      </w:r>
      <w:r w:rsidR="001C676B">
        <w:rPr>
          <w:rFonts w:eastAsiaTheme="minorEastAsia"/>
          <w:lang w:eastAsia="en-US"/>
        </w:rPr>
        <w:t>,</w:t>
      </w:r>
      <w:r w:rsidR="00CE1F3E" w:rsidRPr="004E19C5">
        <w:rPr>
          <w:rFonts w:eastAsiaTheme="minorEastAsia"/>
          <w:lang w:eastAsia="en-US"/>
        </w:rPr>
        <w:t xml:space="preserve"> </w:t>
      </w:r>
      <w:r w:rsidR="009A7F2D" w:rsidRPr="004E19C5">
        <w:rPr>
          <w:rFonts w:eastAsiaTheme="minorEastAsia"/>
          <w:lang w:eastAsia="en-US"/>
        </w:rPr>
        <w:t>‘</w:t>
      </w:r>
      <w:r w:rsidR="00CE1F3E" w:rsidRPr="004E19C5">
        <w:rPr>
          <w:rFonts w:eastAsiaTheme="minorEastAsia"/>
          <w:lang w:eastAsia="en-US"/>
        </w:rPr>
        <w:t>States must conduct themselves consistently with those obligations when they participate in the activities of the organisation and must endeavour to ensure that the actions and consequences of the actions taken by those organisations do not involve violations of rights guaranteed by human rights treaties and customary international law</w:t>
      </w:r>
      <w:r w:rsidR="009A7F2D" w:rsidRPr="004E19C5">
        <w:rPr>
          <w:rFonts w:eastAsiaTheme="minorEastAsia"/>
          <w:lang w:eastAsia="en-US"/>
        </w:rPr>
        <w:t>’</w:t>
      </w:r>
      <w:r w:rsidR="00CE1F3E" w:rsidRPr="004E19C5">
        <w:rPr>
          <w:rFonts w:eastAsiaTheme="minorEastAsia"/>
          <w:lang w:eastAsia="en-US"/>
        </w:rPr>
        <w:t xml:space="preserve"> (2011</w:t>
      </w:r>
      <w:r w:rsidR="00814299" w:rsidRPr="004E19C5">
        <w:rPr>
          <w:rFonts w:eastAsiaTheme="minorEastAsia"/>
          <w:lang w:eastAsia="en-US"/>
        </w:rPr>
        <w:t>,</w:t>
      </w:r>
      <w:r w:rsidR="00CE1F3E" w:rsidRPr="004E19C5">
        <w:rPr>
          <w:rFonts w:eastAsiaTheme="minorEastAsia"/>
          <w:lang w:eastAsia="en-US"/>
        </w:rPr>
        <w:t xml:space="preserve"> 11).</w:t>
      </w:r>
    </w:p>
    <w:p w14:paraId="7F4BD73B" w14:textId="73EE1D03" w:rsidR="003B0BEF" w:rsidRPr="004E19C5" w:rsidRDefault="008D7049" w:rsidP="004E19C5">
      <w:pPr>
        <w:widowControl w:val="0"/>
        <w:autoSpaceDE w:val="0"/>
        <w:autoSpaceDN w:val="0"/>
        <w:adjustRightInd w:val="0"/>
        <w:spacing w:after="240" w:line="360" w:lineRule="auto"/>
        <w:rPr>
          <w:rFonts w:eastAsiaTheme="minorEastAsia"/>
          <w:lang w:eastAsia="en-US"/>
        </w:rPr>
      </w:pPr>
      <w:r w:rsidRPr="004E19C5">
        <w:t xml:space="preserve">4) </w:t>
      </w:r>
      <w:r w:rsidRPr="004E19C5">
        <w:rPr>
          <w:rFonts w:eastAsia="Times New Roman"/>
          <w:lang w:eastAsia="en-US"/>
        </w:rPr>
        <w:t xml:space="preserve">The </w:t>
      </w:r>
      <w:r w:rsidR="00CE5DCE" w:rsidRPr="004E19C5">
        <w:rPr>
          <w:rFonts w:eastAsia="Times New Roman"/>
          <w:lang w:eastAsia="en-US"/>
        </w:rPr>
        <w:t>IF</w:t>
      </w:r>
      <w:r w:rsidR="00D3464B" w:rsidRPr="004E19C5">
        <w:rPr>
          <w:rFonts w:eastAsia="Times New Roman"/>
          <w:lang w:eastAsia="en-US"/>
        </w:rPr>
        <w:t>I</w:t>
      </w:r>
      <w:r w:rsidR="00CE5DCE" w:rsidRPr="004E19C5">
        <w:rPr>
          <w:rFonts w:eastAsia="Times New Roman"/>
          <w:lang w:eastAsia="en-US"/>
        </w:rPr>
        <w:t>s</w:t>
      </w:r>
      <w:r w:rsidRPr="004E19C5">
        <w:rPr>
          <w:rFonts w:eastAsia="Times New Roman"/>
          <w:lang w:eastAsia="en-US"/>
        </w:rPr>
        <w:t xml:space="preserve"> play a leading role in shaping international and domestic development policy-making. </w:t>
      </w:r>
      <w:r w:rsidR="00D3464B" w:rsidRPr="004E19C5">
        <w:rPr>
          <w:rFonts w:eastAsiaTheme="minorEastAsia"/>
          <w:lang w:eastAsia="en-US"/>
        </w:rPr>
        <w:t>At the domestic level state</w:t>
      </w:r>
      <w:r w:rsidR="00165EAC">
        <w:rPr>
          <w:rFonts w:eastAsiaTheme="minorEastAsia"/>
          <w:lang w:eastAsia="en-US"/>
        </w:rPr>
        <w:t>,</w:t>
      </w:r>
      <w:r w:rsidR="00D3464B" w:rsidRPr="004E19C5">
        <w:rPr>
          <w:rFonts w:eastAsiaTheme="minorEastAsia"/>
          <w:lang w:eastAsia="en-US"/>
        </w:rPr>
        <w:t xml:space="preserve"> economic and social policy is influenced and constrained by the conditionalities attached to their IF</w:t>
      </w:r>
      <w:r w:rsidR="00853CAB" w:rsidRPr="004E19C5">
        <w:rPr>
          <w:rFonts w:eastAsiaTheme="minorEastAsia"/>
          <w:lang w:eastAsia="en-US"/>
        </w:rPr>
        <w:t>I</w:t>
      </w:r>
      <w:r w:rsidR="00D3464B" w:rsidRPr="004E19C5">
        <w:rPr>
          <w:rFonts w:eastAsiaTheme="minorEastAsia"/>
          <w:lang w:eastAsia="en-US"/>
        </w:rPr>
        <w:t xml:space="preserve"> loans. </w:t>
      </w:r>
      <w:r w:rsidRPr="004E19C5">
        <w:rPr>
          <w:rFonts w:eastAsiaTheme="minorEastAsia"/>
          <w:lang w:eastAsia="en-US"/>
        </w:rPr>
        <w:t>As the primary creditor</w:t>
      </w:r>
      <w:r w:rsidR="00CE5DCE" w:rsidRPr="004E19C5">
        <w:rPr>
          <w:rFonts w:eastAsiaTheme="minorEastAsia"/>
          <w:lang w:eastAsia="en-US"/>
        </w:rPr>
        <w:t>s</w:t>
      </w:r>
      <w:r w:rsidRPr="004E19C5">
        <w:rPr>
          <w:rFonts w:eastAsiaTheme="minorEastAsia"/>
          <w:lang w:eastAsia="en-US"/>
        </w:rPr>
        <w:t xml:space="preserve"> to developing states, the </w:t>
      </w:r>
      <w:r w:rsidR="00CE5DCE" w:rsidRPr="004E19C5">
        <w:rPr>
          <w:rFonts w:eastAsiaTheme="minorEastAsia"/>
          <w:lang w:eastAsia="en-US"/>
        </w:rPr>
        <w:t>IFIs</w:t>
      </w:r>
      <w:r w:rsidRPr="004E19C5">
        <w:rPr>
          <w:rFonts w:eastAsiaTheme="minorEastAsia"/>
          <w:lang w:eastAsia="en-US"/>
        </w:rPr>
        <w:t xml:space="preserve"> </w:t>
      </w:r>
      <w:r w:rsidRPr="004E19C5">
        <w:t xml:space="preserve">possess considerable power in the decision-making process within member states. </w:t>
      </w:r>
      <w:r w:rsidR="003B0BEF" w:rsidRPr="004E19C5">
        <w:t xml:space="preserve">Darrow counsels that the developing countries </w:t>
      </w:r>
      <w:r w:rsidR="009A7F2D" w:rsidRPr="004E19C5">
        <w:t>‘</w:t>
      </w:r>
      <w:r w:rsidR="003B0BEF" w:rsidRPr="004E19C5">
        <w:t>have an obvious incentive to win the Fund’s stamp of approval as a necessary precondition to development aid programs</w:t>
      </w:r>
      <w:r w:rsidR="009A7F2D" w:rsidRPr="004E19C5">
        <w:t>’</w:t>
      </w:r>
      <w:r w:rsidR="003B0BEF" w:rsidRPr="004E19C5">
        <w:t xml:space="preserve"> (2006</w:t>
      </w:r>
      <w:r w:rsidR="00B17FA5" w:rsidRPr="004E19C5">
        <w:t>,</w:t>
      </w:r>
      <w:r w:rsidR="003B0BEF" w:rsidRPr="004E19C5">
        <w:t xml:space="preserve"> 35). </w:t>
      </w:r>
      <w:r w:rsidR="003078B8" w:rsidRPr="004E19C5">
        <w:rPr>
          <w:rFonts w:eastAsiaTheme="minorEastAsia"/>
          <w:lang w:eastAsia="en-US"/>
        </w:rPr>
        <w:t xml:space="preserve">Abouharb </w:t>
      </w:r>
      <w:r w:rsidR="00800267" w:rsidRPr="004E19C5">
        <w:rPr>
          <w:rFonts w:eastAsiaTheme="minorEastAsia"/>
          <w:lang w:eastAsia="en-US"/>
        </w:rPr>
        <w:t>et al.</w:t>
      </w:r>
      <w:r w:rsidR="003078B8" w:rsidRPr="004E19C5">
        <w:rPr>
          <w:rFonts w:eastAsiaTheme="minorEastAsia"/>
          <w:lang w:eastAsia="en-US"/>
        </w:rPr>
        <w:t xml:space="preserve"> conclude that </w:t>
      </w:r>
      <w:r w:rsidR="009A7F2D" w:rsidRPr="004E19C5">
        <w:rPr>
          <w:rFonts w:eastAsiaTheme="minorEastAsia"/>
          <w:lang w:eastAsia="en-US"/>
        </w:rPr>
        <w:t>‘</w:t>
      </w:r>
      <w:r w:rsidRPr="004E19C5">
        <w:rPr>
          <w:rFonts w:eastAsiaTheme="minorEastAsia"/>
          <w:lang w:eastAsia="en-US"/>
        </w:rPr>
        <w:t>The IMF and the World Bank have enacted a broad set of policies designed to carefully regulate the behavior of borrower states. These policies are in</w:t>
      </w:r>
      <w:r w:rsidR="003078B8" w:rsidRPr="004E19C5">
        <w:rPr>
          <w:rFonts w:eastAsiaTheme="minorEastAsia"/>
          <w:lang w:eastAsia="en-US"/>
        </w:rPr>
        <w:t>corporated into loan agreements</w:t>
      </w:r>
      <w:r w:rsidR="009A7F2D" w:rsidRPr="004E19C5">
        <w:rPr>
          <w:rFonts w:eastAsiaTheme="minorEastAsia"/>
          <w:lang w:eastAsia="en-US"/>
        </w:rPr>
        <w:t>’</w:t>
      </w:r>
      <w:r w:rsidR="003078B8" w:rsidRPr="004E19C5">
        <w:rPr>
          <w:rFonts w:eastAsiaTheme="minorEastAsia"/>
          <w:lang w:eastAsia="en-US"/>
        </w:rPr>
        <w:t xml:space="preserve"> </w:t>
      </w:r>
      <w:r w:rsidRPr="004E19C5">
        <w:rPr>
          <w:rFonts w:eastAsiaTheme="minorEastAsia"/>
          <w:lang w:eastAsia="en-US"/>
        </w:rPr>
        <w:t>(2015</w:t>
      </w:r>
      <w:r w:rsidR="00B17FA5" w:rsidRPr="004E19C5">
        <w:rPr>
          <w:rFonts w:eastAsiaTheme="minorEastAsia"/>
          <w:lang w:eastAsia="en-US"/>
        </w:rPr>
        <w:t>,</w:t>
      </w:r>
      <w:r w:rsidRPr="004E19C5">
        <w:rPr>
          <w:rFonts w:eastAsiaTheme="minorEastAsia"/>
          <w:lang w:eastAsia="en-US"/>
        </w:rPr>
        <w:t xml:space="preserve"> 38).</w:t>
      </w:r>
      <w:r w:rsidR="003B0BEF" w:rsidRPr="004E19C5">
        <w:rPr>
          <w:rFonts w:eastAsiaTheme="minorEastAsia"/>
          <w:lang w:eastAsia="en-US"/>
        </w:rPr>
        <w:t xml:space="preserve"> </w:t>
      </w:r>
      <w:r w:rsidR="003B0BEF" w:rsidRPr="004E19C5">
        <w:t>Developing state</w:t>
      </w:r>
      <w:r w:rsidR="00165EAC">
        <w:t>s</w:t>
      </w:r>
      <w:r w:rsidR="003B0BEF" w:rsidRPr="004E19C5">
        <w:t xml:space="preserve"> in need of funds must modify their domestic </w:t>
      </w:r>
      <w:r w:rsidR="000653A6" w:rsidRPr="004E19C5">
        <w:t xml:space="preserve">economic and social </w:t>
      </w:r>
      <w:r w:rsidR="003B0BEF" w:rsidRPr="004E19C5">
        <w:t>policies in order satisfy the IFIs</w:t>
      </w:r>
      <w:r w:rsidR="00D32828">
        <w:t>’</w:t>
      </w:r>
      <w:r w:rsidR="003B0BEF" w:rsidRPr="004E19C5">
        <w:t xml:space="preserve"> preconditions for the receipt of aid.</w:t>
      </w:r>
    </w:p>
    <w:p w14:paraId="0C9A0533" w14:textId="05336C7A" w:rsidR="003411DE" w:rsidRPr="004E19C5" w:rsidRDefault="00650FC0" w:rsidP="004E19C5">
      <w:pPr>
        <w:spacing w:line="360" w:lineRule="auto"/>
      </w:pPr>
      <w:r w:rsidRPr="004E19C5">
        <w:t>E</w:t>
      </w:r>
      <w:r w:rsidR="0013743E" w:rsidRPr="004E19C5">
        <w:t xml:space="preserve">VOLUTION OF THE BANK  </w:t>
      </w:r>
    </w:p>
    <w:p w14:paraId="040D030D" w14:textId="6798B7F2" w:rsidR="006918E0" w:rsidRPr="004E19C5" w:rsidRDefault="006F0D2B" w:rsidP="004E19C5">
      <w:pPr>
        <w:spacing w:line="360" w:lineRule="auto"/>
        <w:rPr>
          <w:rFonts w:eastAsia="Times New Roman"/>
          <w:lang w:eastAsia="en-US"/>
        </w:rPr>
      </w:pPr>
      <w:r w:rsidRPr="004E19C5">
        <w:t xml:space="preserve">The initial </w:t>
      </w:r>
      <w:r w:rsidR="00FF7D5E" w:rsidRPr="004E19C5">
        <w:t>purpose of the IFIs was</w:t>
      </w:r>
      <w:r w:rsidRPr="004E19C5">
        <w:t xml:space="preserve"> to promote economic development</w:t>
      </w:r>
      <w:r w:rsidR="003207B2" w:rsidRPr="004E19C5">
        <w:t>, monetary co-operation,</w:t>
      </w:r>
      <w:r w:rsidR="00401FFB" w:rsidRPr="004E19C5">
        <w:t xml:space="preserve"> and maintain currency stability</w:t>
      </w:r>
      <w:r w:rsidRPr="004E19C5">
        <w:t xml:space="preserve">. </w:t>
      </w:r>
      <w:r w:rsidR="006918E0" w:rsidRPr="004E19C5">
        <w:rPr>
          <w:rFonts w:eastAsiaTheme="minorEastAsia"/>
          <w:lang w:eastAsia="en-US"/>
        </w:rPr>
        <w:t xml:space="preserve">The Bank has over time </w:t>
      </w:r>
      <w:r w:rsidR="006918E0" w:rsidRPr="004E19C5">
        <w:t>become more willing to accept its responsibility for hu</w:t>
      </w:r>
      <w:r w:rsidR="0049266D" w:rsidRPr="004E19C5">
        <w:t>man welfare</w:t>
      </w:r>
      <w:r w:rsidR="006918E0" w:rsidRPr="004E19C5">
        <w:t>.</w:t>
      </w:r>
      <w:r w:rsidR="006918E0" w:rsidRPr="004E19C5">
        <w:rPr>
          <w:rFonts w:eastAsiaTheme="minorEastAsia"/>
          <w:lang w:eastAsia="en-US"/>
        </w:rPr>
        <w:t xml:space="preserve"> </w:t>
      </w:r>
      <w:r w:rsidR="006918E0" w:rsidRPr="004E19C5">
        <w:t>Ravallion writes</w:t>
      </w:r>
      <w:r w:rsidR="00E97FA3">
        <w:t>:</w:t>
      </w:r>
      <w:r w:rsidR="006918E0" w:rsidRPr="004E19C5">
        <w:t xml:space="preserve"> </w:t>
      </w:r>
      <w:r w:rsidR="009A7F2D" w:rsidRPr="004E19C5">
        <w:rPr>
          <w:rFonts w:eastAsiaTheme="minorEastAsia"/>
          <w:lang w:eastAsia="en-US"/>
        </w:rPr>
        <w:t>‘</w:t>
      </w:r>
      <w:r w:rsidR="006918E0" w:rsidRPr="004E19C5">
        <w:rPr>
          <w:rFonts w:eastAsiaTheme="minorEastAsia"/>
          <w:lang w:eastAsia="en-US"/>
        </w:rPr>
        <w:t>Over its history, the Bank has made many efforts to adapt, re-invent and rationalize its role….[with the] Bank adopting a broader social welfare objective, emphasizing poverty reduction through equitable economic growth and delivering social services to poor people</w:t>
      </w:r>
      <w:r w:rsidR="009A7F2D" w:rsidRPr="004E19C5">
        <w:rPr>
          <w:rFonts w:eastAsiaTheme="minorEastAsia"/>
          <w:lang w:eastAsia="en-US"/>
        </w:rPr>
        <w:t>’</w:t>
      </w:r>
      <w:r w:rsidR="006918E0" w:rsidRPr="004E19C5">
        <w:rPr>
          <w:rFonts w:eastAsiaTheme="minorEastAsia"/>
          <w:lang w:eastAsia="en-US"/>
        </w:rPr>
        <w:t xml:space="preserve"> (2015</w:t>
      </w:r>
      <w:r w:rsidR="00B17FA5" w:rsidRPr="004E19C5">
        <w:rPr>
          <w:rFonts w:eastAsiaTheme="minorEastAsia"/>
          <w:lang w:eastAsia="en-US"/>
        </w:rPr>
        <w:t>,</w:t>
      </w:r>
      <w:r w:rsidR="006918E0" w:rsidRPr="004E19C5">
        <w:rPr>
          <w:rFonts w:eastAsiaTheme="minorEastAsia"/>
          <w:lang w:eastAsia="en-US"/>
        </w:rPr>
        <w:t xml:space="preserve"> 4). The Bank has endorsed the Millennium Development Goals, joined the Child Survival Partnership and the Partnership for Maternal, Newborn and Child Health, and </w:t>
      </w:r>
      <w:r w:rsidR="00E97FA3">
        <w:rPr>
          <w:rFonts w:eastAsiaTheme="minorEastAsia"/>
          <w:lang w:eastAsia="en-US"/>
        </w:rPr>
        <w:t xml:space="preserve">it also </w:t>
      </w:r>
      <w:r w:rsidR="006918E0" w:rsidRPr="004E19C5">
        <w:t>funds development and health projects needed to eradicate poverty and reduce child mortality.</w:t>
      </w:r>
      <w:r w:rsidR="00E06787" w:rsidRPr="004E19C5">
        <w:rPr>
          <w:rFonts w:eastAsia="Times New Roman"/>
          <w:lang w:eastAsia="en-US"/>
        </w:rPr>
        <w:t xml:space="preserve"> </w:t>
      </w:r>
    </w:p>
    <w:p w14:paraId="48C15F5F" w14:textId="6673D8B4" w:rsidR="00C426DB" w:rsidRPr="004E19C5" w:rsidRDefault="00183718" w:rsidP="004E19C5">
      <w:pPr>
        <w:spacing w:line="360" w:lineRule="auto"/>
        <w:ind w:firstLine="720"/>
      </w:pPr>
      <w:r w:rsidRPr="004E19C5">
        <w:t>In the early years</w:t>
      </w:r>
      <w:r w:rsidR="008F17B4">
        <w:t>,</w:t>
      </w:r>
      <w:r w:rsidRPr="004E19C5">
        <w:t xml:space="preserve"> the Bank lent money with the myopic aim of promoting economic growth with little attention to the social repercussions of its projects. </w:t>
      </w:r>
      <w:r w:rsidRPr="004E19C5">
        <w:rPr>
          <w:rFonts w:eastAsiaTheme="minorEastAsia"/>
          <w:lang w:eastAsia="en-US"/>
        </w:rPr>
        <w:t>In the early1980s</w:t>
      </w:r>
      <w:r w:rsidR="008F17B4">
        <w:rPr>
          <w:rFonts w:eastAsiaTheme="minorEastAsia"/>
          <w:lang w:eastAsia="en-US"/>
        </w:rPr>
        <w:t>,</w:t>
      </w:r>
      <w:r w:rsidRPr="004E19C5">
        <w:rPr>
          <w:rFonts w:eastAsiaTheme="minorEastAsia"/>
          <w:lang w:eastAsia="en-US"/>
        </w:rPr>
        <w:t xml:space="preserve"> the Bank introduced non-project funding, structural adjustment lending (SAL) now renamed Development Policy Loans (DPL), to support policy reform in recipient countries. SALs loans provided conditional funding for economic stabilization and balance of payment distortions. Due to strong criticism from NGOs, human rights advocates, and poverty reduction activists, the Bank put more emphasis on protecting the poor from the adverse </w:t>
      </w:r>
      <w:r w:rsidR="008F17B4">
        <w:rPr>
          <w:rFonts w:eastAsiaTheme="minorEastAsia"/>
          <w:lang w:eastAsia="en-US"/>
        </w:rPr>
        <w:t>e</w:t>
      </w:r>
      <w:r w:rsidRPr="004E19C5">
        <w:rPr>
          <w:rFonts w:eastAsiaTheme="minorEastAsia"/>
          <w:lang w:eastAsia="en-US"/>
        </w:rPr>
        <w:t>ffects of these programs during the 1990s.</w:t>
      </w:r>
      <w:r w:rsidRPr="004E19C5">
        <w:t xml:space="preserve"> </w:t>
      </w:r>
      <w:r w:rsidR="00CA70AC" w:rsidRPr="004E19C5">
        <w:t xml:space="preserve">As criticism continued to mount and human rights gained support, </w:t>
      </w:r>
      <w:r w:rsidR="007E2D29" w:rsidRPr="004E19C5">
        <w:t>the</w:t>
      </w:r>
      <w:r w:rsidR="0013743E" w:rsidRPr="004E19C5">
        <w:t xml:space="preserve"> </w:t>
      </w:r>
      <w:r w:rsidR="00CA70AC" w:rsidRPr="004E19C5">
        <w:t>Bank</w:t>
      </w:r>
      <w:r w:rsidR="008F17B4">
        <w:t>’s</w:t>
      </w:r>
      <w:r w:rsidR="00CA70AC" w:rsidRPr="004E19C5">
        <w:t xml:space="preserve"> </w:t>
      </w:r>
      <w:r w:rsidR="000C5665" w:rsidRPr="004E19C5">
        <w:t>rhetoric</w:t>
      </w:r>
      <w:r w:rsidR="00CA70AC" w:rsidRPr="004E19C5">
        <w:t xml:space="preserve"> evolved to reflect a broader understanding of what the concept of development means. No longer is development measured </w:t>
      </w:r>
      <w:r w:rsidR="008F17B4" w:rsidRPr="004E19C5">
        <w:t xml:space="preserve">simply </w:t>
      </w:r>
      <w:r w:rsidR="00CA70AC" w:rsidRPr="004E19C5">
        <w:t xml:space="preserve">in economic terms. Development now includes social elements. </w:t>
      </w:r>
      <w:r w:rsidR="00CA70AC" w:rsidRPr="004E19C5">
        <w:rPr>
          <w:lang w:eastAsia="en-US"/>
        </w:rPr>
        <w:t xml:space="preserve">The Bank has stated that </w:t>
      </w:r>
      <w:r w:rsidR="009A7F2D" w:rsidRPr="004E19C5">
        <w:rPr>
          <w:lang w:eastAsia="en-US"/>
        </w:rPr>
        <w:t>‘</w:t>
      </w:r>
      <w:r w:rsidR="00CA70AC" w:rsidRPr="004E19C5">
        <w:rPr>
          <w:lang w:eastAsia="en-US"/>
        </w:rPr>
        <w:t>creating the conditions for the attainment of human rights is a central and irreducible goal of development</w:t>
      </w:r>
      <w:r w:rsidR="009A7F2D" w:rsidRPr="004E19C5">
        <w:rPr>
          <w:lang w:eastAsia="en-US"/>
        </w:rPr>
        <w:t>’</w:t>
      </w:r>
      <w:r w:rsidR="00CA70AC" w:rsidRPr="004E19C5">
        <w:rPr>
          <w:lang w:eastAsia="en-US"/>
        </w:rPr>
        <w:t xml:space="preserve"> (</w:t>
      </w:r>
      <w:r w:rsidR="00CA70AC" w:rsidRPr="004E19C5">
        <w:rPr>
          <w:rFonts w:eastAsiaTheme="minorEastAsia"/>
          <w:lang w:eastAsia="en-US"/>
        </w:rPr>
        <w:t>World Bank</w:t>
      </w:r>
      <w:r w:rsidR="00B17FA5" w:rsidRPr="004E19C5">
        <w:rPr>
          <w:rFonts w:eastAsiaTheme="minorEastAsia"/>
          <w:lang w:eastAsia="en-US"/>
        </w:rPr>
        <w:t>,</w:t>
      </w:r>
      <w:r w:rsidR="00CA70AC" w:rsidRPr="004E19C5">
        <w:rPr>
          <w:rFonts w:eastAsiaTheme="minorEastAsia"/>
          <w:lang w:eastAsia="en-US"/>
        </w:rPr>
        <w:t xml:space="preserve"> 1998</w:t>
      </w:r>
      <w:r w:rsidR="00B17FA5" w:rsidRPr="004E19C5">
        <w:rPr>
          <w:rFonts w:eastAsiaTheme="minorEastAsia"/>
          <w:lang w:eastAsia="en-US"/>
        </w:rPr>
        <w:t>,</w:t>
      </w:r>
      <w:r w:rsidR="00CA70AC" w:rsidRPr="004E19C5">
        <w:rPr>
          <w:rFonts w:eastAsiaTheme="minorEastAsia"/>
          <w:lang w:eastAsia="en-US"/>
        </w:rPr>
        <w:t xml:space="preserve"> 2)</w:t>
      </w:r>
      <w:r w:rsidR="00CA70AC" w:rsidRPr="004E19C5">
        <w:rPr>
          <w:lang w:eastAsia="en-US"/>
        </w:rPr>
        <w:t xml:space="preserve">. </w:t>
      </w:r>
      <w:r w:rsidR="00CA70AC" w:rsidRPr="004E19C5">
        <w:t xml:space="preserve">Bank rhetoric reflects a growing awareness that child welfare is both a development and a rights issue. As a result, the Bank reports that it </w:t>
      </w:r>
      <w:r w:rsidR="00B860DB">
        <w:t xml:space="preserve">has </w:t>
      </w:r>
      <w:r w:rsidR="00CA70AC" w:rsidRPr="004E19C5">
        <w:t>positioned health, emphasizing a reduction in child mortality, at the core of its lending programs in poor countries (World Bank</w:t>
      </w:r>
      <w:r w:rsidR="00B17FA5" w:rsidRPr="004E19C5">
        <w:t>,</w:t>
      </w:r>
      <w:r w:rsidR="00CA70AC" w:rsidRPr="004E19C5">
        <w:t xml:space="preserve"> 1998).</w:t>
      </w:r>
      <w:r w:rsidR="003057C4" w:rsidRPr="004E19C5">
        <w:t xml:space="preserve"> </w:t>
      </w:r>
      <w:r w:rsidR="001B7D92" w:rsidRPr="004E19C5">
        <w:t>The Bank increased its health program budget through IBRD and IDA funding from $1.78 billion in 2000 to $2.19 billion in 2012</w:t>
      </w:r>
      <w:r w:rsidR="00B860DB">
        <w:t>, a</w:t>
      </w:r>
      <w:r w:rsidR="001B7D92" w:rsidRPr="004E19C5">
        <w:t xml:space="preserve">n increase of 46%, with the majority (44%) disbursed through IBRD (Diaz-Martinez 2013). </w:t>
      </w:r>
    </w:p>
    <w:p w14:paraId="3C22310C" w14:textId="7725007D" w:rsidR="001B7D92" w:rsidRPr="004E19C5" w:rsidRDefault="001B7D92" w:rsidP="004E19C5">
      <w:pPr>
        <w:spacing w:line="360" w:lineRule="auto"/>
        <w:ind w:firstLine="720"/>
      </w:pPr>
      <w:r w:rsidRPr="004E19C5">
        <w:rPr>
          <w:lang w:eastAsia="en-US"/>
        </w:rPr>
        <w:t xml:space="preserve">Nevertheless, </w:t>
      </w:r>
      <w:r w:rsidRPr="004E19C5">
        <w:rPr>
          <w:rFonts w:eastAsiaTheme="minorEastAsia"/>
          <w:lang w:eastAsia="en-US"/>
        </w:rPr>
        <w:t xml:space="preserve">the extent </w:t>
      </w:r>
      <w:r w:rsidR="00B860DB">
        <w:rPr>
          <w:rFonts w:eastAsiaTheme="minorEastAsia"/>
          <w:lang w:eastAsia="en-US"/>
        </w:rPr>
        <w:t xml:space="preserve">to which </w:t>
      </w:r>
      <w:r w:rsidRPr="004E19C5">
        <w:rPr>
          <w:rFonts w:eastAsiaTheme="minorEastAsia"/>
          <w:lang w:eastAsia="en-US"/>
        </w:rPr>
        <w:t>human rights have become part of the culture of the Bank is uncertain. Sarfaty writes</w:t>
      </w:r>
      <w:r w:rsidR="00B860DB">
        <w:rPr>
          <w:rFonts w:eastAsiaTheme="minorEastAsia"/>
          <w:lang w:eastAsia="en-US"/>
        </w:rPr>
        <w:t>:</w:t>
      </w:r>
      <w:r w:rsidRPr="004E19C5">
        <w:rPr>
          <w:rFonts w:eastAsiaTheme="minorEastAsia"/>
          <w:lang w:eastAsia="en-US"/>
        </w:rPr>
        <w:t xml:space="preserve"> </w:t>
      </w:r>
      <w:r w:rsidR="009A7F2D" w:rsidRPr="004E19C5">
        <w:rPr>
          <w:rFonts w:eastAsiaTheme="minorEastAsia"/>
          <w:lang w:eastAsia="en-US"/>
        </w:rPr>
        <w:t>‘</w:t>
      </w:r>
      <w:r w:rsidRPr="004E19C5">
        <w:rPr>
          <w:rFonts w:eastAsiaTheme="minorEastAsia"/>
          <w:lang w:eastAsia="en-US"/>
        </w:rPr>
        <w:t>Despite the Bank’s rhetoric that protecting human rights is critical for development, its employees do not systematically incorporate human rights concerns into their everyday decision making or consistently take them into consideration in lending</w:t>
      </w:r>
      <w:r w:rsidR="009A7F2D" w:rsidRPr="004E19C5">
        <w:rPr>
          <w:rFonts w:eastAsiaTheme="minorEastAsia"/>
          <w:lang w:eastAsia="en-US"/>
        </w:rPr>
        <w:t>’</w:t>
      </w:r>
      <w:r w:rsidRPr="004E19C5">
        <w:rPr>
          <w:rFonts w:eastAsiaTheme="minorEastAsia"/>
          <w:lang w:eastAsia="en-US"/>
        </w:rPr>
        <w:t xml:space="preserve"> (2012</w:t>
      </w:r>
      <w:r w:rsidR="00B17FA5" w:rsidRPr="004E19C5">
        <w:rPr>
          <w:rFonts w:eastAsiaTheme="minorEastAsia"/>
          <w:lang w:eastAsia="en-US"/>
        </w:rPr>
        <w:t>,</w:t>
      </w:r>
      <w:r w:rsidRPr="004E19C5">
        <w:rPr>
          <w:rFonts w:eastAsiaTheme="minorEastAsia"/>
          <w:lang w:eastAsia="en-US"/>
        </w:rPr>
        <w:t xml:space="preserve"> 2).</w:t>
      </w:r>
      <w:r w:rsidR="00831331" w:rsidRPr="004E19C5">
        <w:rPr>
          <w:rFonts w:eastAsiaTheme="minorEastAsia"/>
          <w:lang w:eastAsia="en-US"/>
        </w:rPr>
        <w:t xml:space="preserve"> </w:t>
      </w:r>
      <w:r w:rsidR="00113250" w:rsidRPr="004E19C5">
        <w:rPr>
          <w:rFonts w:eastAsiaTheme="minorEastAsia"/>
          <w:lang w:eastAsia="en-US"/>
        </w:rPr>
        <w:t>In Sarfaty’s opinion</w:t>
      </w:r>
      <w:r w:rsidR="00B860DB">
        <w:rPr>
          <w:rFonts w:eastAsiaTheme="minorEastAsia"/>
          <w:lang w:eastAsia="en-US"/>
        </w:rPr>
        <w:t>,</w:t>
      </w:r>
      <w:r w:rsidR="00113250" w:rsidRPr="004E19C5">
        <w:rPr>
          <w:rFonts w:eastAsiaTheme="minorEastAsia"/>
          <w:lang w:eastAsia="en-US"/>
        </w:rPr>
        <w:t xml:space="preserve"> the Bank has not yet fully adopted a human rights policy or agenda despite outside pressure and its own human rights rhetoric.</w:t>
      </w:r>
    </w:p>
    <w:p w14:paraId="3DFD5D50" w14:textId="77777777" w:rsidR="001B7D92" w:rsidRPr="004E19C5" w:rsidRDefault="001B7D92" w:rsidP="004E19C5">
      <w:pPr>
        <w:spacing w:line="360" w:lineRule="auto"/>
      </w:pPr>
    </w:p>
    <w:p w14:paraId="3BBC269D" w14:textId="7324E0BC" w:rsidR="001B7D92" w:rsidRPr="004E19C5" w:rsidRDefault="00BB0551" w:rsidP="004E19C5">
      <w:pPr>
        <w:spacing w:line="360" w:lineRule="auto"/>
      </w:pPr>
      <w:r w:rsidRPr="004E19C5">
        <w:t>C</w:t>
      </w:r>
      <w:r w:rsidR="0013743E" w:rsidRPr="004E19C5">
        <w:t xml:space="preserve">ONSTANCY OF THE IMF </w:t>
      </w:r>
    </w:p>
    <w:p w14:paraId="4001583B" w14:textId="15051C84" w:rsidR="002D750B" w:rsidRPr="004E19C5" w:rsidRDefault="00CE5DCE" w:rsidP="004E19C5">
      <w:pPr>
        <w:spacing w:line="360" w:lineRule="auto"/>
        <w:ind w:firstLine="720"/>
      </w:pPr>
      <w:r w:rsidRPr="004E19C5">
        <w:rPr>
          <w:rFonts w:eastAsiaTheme="minorEastAsia"/>
          <w:lang w:eastAsia="en-US"/>
        </w:rPr>
        <w:t>The IMF, on the other hand,</w:t>
      </w:r>
      <w:r w:rsidR="00A6764C">
        <w:rPr>
          <w:rFonts w:eastAsiaTheme="minorEastAsia"/>
          <w:lang w:eastAsia="en-US"/>
        </w:rPr>
        <w:t xml:space="preserve"> has been</w:t>
      </w:r>
      <w:r w:rsidRPr="004E19C5">
        <w:rPr>
          <w:rFonts w:eastAsiaTheme="minorEastAsia"/>
          <w:lang w:eastAsia="en-US"/>
        </w:rPr>
        <w:t xml:space="preserve"> steadfast in its conviction that it is not </w:t>
      </w:r>
      <w:r w:rsidR="009A7F2D" w:rsidRPr="004E19C5">
        <w:rPr>
          <w:rFonts w:eastAsiaTheme="minorEastAsia"/>
          <w:lang w:eastAsia="en-US"/>
        </w:rPr>
        <w:t>‘</w:t>
      </w:r>
      <w:r w:rsidRPr="004E19C5">
        <w:rPr>
          <w:rFonts w:eastAsiaTheme="minorEastAsia"/>
          <w:lang w:eastAsia="en-US"/>
        </w:rPr>
        <w:t>bound by various human rights declarations and conventions</w:t>
      </w:r>
      <w:r w:rsidR="009A7F2D" w:rsidRPr="004E19C5">
        <w:rPr>
          <w:rFonts w:eastAsiaTheme="minorEastAsia"/>
          <w:lang w:eastAsia="en-US"/>
        </w:rPr>
        <w:t>’</w:t>
      </w:r>
      <w:r w:rsidRPr="004E19C5">
        <w:rPr>
          <w:rFonts w:eastAsiaTheme="minorEastAsia"/>
          <w:lang w:eastAsia="en-US"/>
        </w:rPr>
        <w:t xml:space="preserve"> (Capdevila</w:t>
      </w:r>
      <w:r w:rsidR="00B17FA5" w:rsidRPr="004E19C5">
        <w:rPr>
          <w:rFonts w:eastAsiaTheme="minorEastAsia"/>
          <w:lang w:eastAsia="en-US"/>
        </w:rPr>
        <w:t>,</w:t>
      </w:r>
      <w:r w:rsidRPr="004E19C5">
        <w:rPr>
          <w:rFonts w:eastAsiaTheme="minorEastAsia"/>
          <w:lang w:eastAsia="en-US"/>
        </w:rPr>
        <w:t xml:space="preserve"> 2001). </w:t>
      </w:r>
      <w:r w:rsidR="00AA3928" w:rsidRPr="004E19C5">
        <w:rPr>
          <w:rFonts w:eastAsiaTheme="minorEastAsia"/>
          <w:lang w:eastAsia="en-US"/>
        </w:rPr>
        <w:t xml:space="preserve">The Fund’s General Counsel, </w:t>
      </w:r>
      <w:r w:rsidR="00AA3928" w:rsidRPr="004E19C5">
        <w:t>François Gianviti</w:t>
      </w:r>
      <w:r w:rsidR="00AA3928" w:rsidRPr="004E19C5">
        <w:rPr>
          <w:rFonts w:eastAsiaTheme="minorEastAsia"/>
          <w:lang w:eastAsia="en-US"/>
        </w:rPr>
        <w:t xml:space="preserve"> </w:t>
      </w:r>
      <w:r w:rsidR="00AA3928" w:rsidRPr="004E19C5">
        <w:t>(1987-2004),</w:t>
      </w:r>
      <w:r w:rsidR="00AA3928" w:rsidRPr="004E19C5">
        <w:rPr>
          <w:b/>
        </w:rPr>
        <w:t xml:space="preserve"> </w:t>
      </w:r>
      <w:r w:rsidR="00AA3928" w:rsidRPr="004E19C5">
        <w:rPr>
          <w:rFonts w:eastAsiaTheme="minorEastAsia"/>
          <w:lang w:eastAsia="en-US"/>
        </w:rPr>
        <w:t>argued strongly that the Fund is not subject to international human rights law (2002). H</w:t>
      </w:r>
      <w:r w:rsidR="00AA3928" w:rsidRPr="004E19C5">
        <w:t xml:space="preserve">uman rights considerations are only relevant for the IMF </w:t>
      </w:r>
      <w:r w:rsidR="009A7F2D" w:rsidRPr="004E19C5">
        <w:t>‘</w:t>
      </w:r>
      <w:r w:rsidR="00AA3928" w:rsidRPr="004E19C5">
        <w:t>to the extent that major violations of economic and social human rights would trigger civil unrest or a lack of foreign financing</w:t>
      </w:r>
      <w:r w:rsidR="009A7F2D" w:rsidRPr="004E19C5">
        <w:t>’</w:t>
      </w:r>
      <w:r w:rsidR="00AA3928" w:rsidRPr="004E19C5">
        <w:t xml:space="preserve"> (Gianviti</w:t>
      </w:r>
      <w:r w:rsidR="00B17FA5" w:rsidRPr="004E19C5">
        <w:t>,</w:t>
      </w:r>
      <w:r w:rsidR="00AA3928" w:rsidRPr="004E19C5">
        <w:t xml:space="preserve"> 2002</w:t>
      </w:r>
      <w:r w:rsidR="00B17FA5" w:rsidRPr="004E19C5">
        <w:t>,</w:t>
      </w:r>
      <w:r w:rsidR="00AA3928" w:rsidRPr="004E19C5">
        <w:t xml:space="preserve"> 40 para. 51). Neglecting the opinions of legal scholars and even </w:t>
      </w:r>
      <w:r w:rsidR="00A6764C">
        <w:t xml:space="preserve">of the </w:t>
      </w:r>
      <w:r w:rsidR="00AA3928" w:rsidRPr="004E19C5">
        <w:t>UN Human Right</w:t>
      </w:r>
      <w:r w:rsidR="00A6764C">
        <w:t>s</w:t>
      </w:r>
      <w:r w:rsidR="00AA3928" w:rsidRPr="004E19C5">
        <w:t xml:space="preserve"> Committee, t</w:t>
      </w:r>
      <w:r w:rsidR="00AA3928" w:rsidRPr="004E19C5">
        <w:rPr>
          <w:rFonts w:eastAsia="Times New Roman"/>
          <w:lang w:eastAsia="en-US"/>
        </w:rPr>
        <w:t>he Fund has continue</w:t>
      </w:r>
      <w:r w:rsidR="00A6764C">
        <w:rPr>
          <w:rFonts w:eastAsia="Times New Roman"/>
          <w:lang w:eastAsia="en-US"/>
        </w:rPr>
        <w:t>d</w:t>
      </w:r>
      <w:r w:rsidR="00AA3928" w:rsidRPr="004E19C5">
        <w:rPr>
          <w:rFonts w:eastAsia="Times New Roman"/>
          <w:lang w:eastAsia="en-US"/>
        </w:rPr>
        <w:t xml:space="preserve"> to act in accordance with its own interpretation of its Articles of Agreement.</w:t>
      </w:r>
      <w:r w:rsidR="00AA3928" w:rsidRPr="004E19C5">
        <w:t xml:space="preserve"> </w:t>
      </w:r>
      <w:r w:rsidR="0092065E" w:rsidRPr="004E19C5">
        <w:rPr>
          <w:rFonts w:eastAsiaTheme="minorEastAsia"/>
          <w:lang w:eastAsia="en-US"/>
        </w:rPr>
        <w:t>In conjunction with the Bank</w:t>
      </w:r>
      <w:r w:rsidR="00A6764C">
        <w:rPr>
          <w:rFonts w:eastAsiaTheme="minorEastAsia"/>
          <w:lang w:eastAsia="en-US"/>
        </w:rPr>
        <w:t>,</w:t>
      </w:r>
      <w:r w:rsidR="0092065E" w:rsidRPr="004E19C5">
        <w:rPr>
          <w:rFonts w:eastAsiaTheme="minorEastAsia"/>
          <w:lang w:eastAsia="en-US"/>
        </w:rPr>
        <w:t xml:space="preserve"> the IMF instituted </w:t>
      </w:r>
      <w:r w:rsidR="006C2641" w:rsidRPr="004E19C5">
        <w:rPr>
          <w:rFonts w:eastAsiaTheme="minorEastAsia"/>
          <w:lang w:eastAsia="en-US"/>
        </w:rPr>
        <w:t>structural adjustment loans</w:t>
      </w:r>
      <w:r w:rsidR="0092065E" w:rsidRPr="004E19C5">
        <w:rPr>
          <w:rFonts w:eastAsiaTheme="minorEastAsia"/>
          <w:lang w:eastAsia="en-US"/>
        </w:rPr>
        <w:t xml:space="preserve"> in the 1980s. </w:t>
      </w:r>
      <w:r w:rsidR="002D750B" w:rsidRPr="004E19C5">
        <w:rPr>
          <w:rFonts w:eastAsia="Times New Roman"/>
          <w:lang w:eastAsia="en-US"/>
        </w:rPr>
        <w:t>In the 1980s, when developed countries were able to access private capital flows</w:t>
      </w:r>
      <w:r w:rsidR="00A6764C">
        <w:rPr>
          <w:rFonts w:eastAsia="Times New Roman"/>
          <w:lang w:eastAsia="en-US"/>
        </w:rPr>
        <w:t>,</w:t>
      </w:r>
      <w:r w:rsidR="002D750B" w:rsidRPr="004E19C5">
        <w:rPr>
          <w:rFonts w:eastAsia="Times New Roman"/>
          <w:lang w:eastAsia="en-US"/>
        </w:rPr>
        <w:t xml:space="preserve"> IMF clientele became developing and transition</w:t>
      </w:r>
      <w:r w:rsidR="00A6764C">
        <w:rPr>
          <w:rFonts w:eastAsia="Times New Roman"/>
          <w:lang w:eastAsia="en-US"/>
        </w:rPr>
        <w:t>al</w:t>
      </w:r>
      <w:r w:rsidR="002D750B" w:rsidRPr="004E19C5">
        <w:rPr>
          <w:rFonts w:eastAsia="Times New Roman"/>
          <w:lang w:eastAsia="en-US"/>
        </w:rPr>
        <w:t xml:space="preserve"> economies almost exclusively. With the shift in borrowing countries</w:t>
      </w:r>
      <w:r w:rsidR="00F53A20" w:rsidRPr="004E19C5">
        <w:rPr>
          <w:rFonts w:eastAsia="Times New Roman"/>
          <w:lang w:eastAsia="en-US"/>
        </w:rPr>
        <w:t xml:space="preserve"> and</w:t>
      </w:r>
      <w:r w:rsidR="002D750B" w:rsidRPr="004E19C5">
        <w:rPr>
          <w:rFonts w:eastAsia="Times New Roman"/>
          <w:lang w:eastAsia="en-US"/>
        </w:rPr>
        <w:t xml:space="preserve"> the IMF’s overriding interest in maintaining financial and monetary stability, concern </w:t>
      </w:r>
      <w:r w:rsidR="00F53A20" w:rsidRPr="004E19C5">
        <w:rPr>
          <w:rFonts w:eastAsia="Times New Roman"/>
          <w:lang w:eastAsia="en-US"/>
        </w:rPr>
        <w:t xml:space="preserve">increased </w:t>
      </w:r>
      <w:r w:rsidR="002D750B" w:rsidRPr="004E19C5">
        <w:rPr>
          <w:rFonts w:eastAsia="Times New Roman"/>
          <w:lang w:eastAsia="en-US"/>
        </w:rPr>
        <w:t>that IMF conditional lending worsened the situation of the poor (</w:t>
      </w:r>
      <w:r w:rsidR="002D750B" w:rsidRPr="004E19C5">
        <w:rPr>
          <w:rFonts w:eastAsiaTheme="minorEastAsia"/>
          <w:lang w:eastAsia="en-US"/>
        </w:rPr>
        <w:t>Cavanagh</w:t>
      </w:r>
      <w:r w:rsidR="002D750B" w:rsidRPr="004E19C5">
        <w:rPr>
          <w:rFonts w:eastAsia="Times New Roman"/>
          <w:lang w:eastAsia="en-US"/>
        </w:rPr>
        <w:t xml:space="preserve"> </w:t>
      </w:r>
      <w:r w:rsidR="00800267" w:rsidRPr="004E19C5">
        <w:rPr>
          <w:rFonts w:eastAsia="Times New Roman"/>
          <w:lang w:eastAsia="en-US"/>
        </w:rPr>
        <w:t>et al.</w:t>
      </w:r>
      <w:r w:rsidR="00B17FA5" w:rsidRPr="004E19C5">
        <w:rPr>
          <w:rFonts w:eastAsia="Times New Roman"/>
          <w:lang w:eastAsia="en-US"/>
        </w:rPr>
        <w:t>,</w:t>
      </w:r>
      <w:r w:rsidR="002D750B" w:rsidRPr="004E19C5">
        <w:rPr>
          <w:rFonts w:eastAsia="Times New Roman"/>
          <w:lang w:eastAsia="en-US"/>
        </w:rPr>
        <w:t xml:space="preserve"> 2000</w:t>
      </w:r>
      <w:r w:rsidR="008144E2" w:rsidRPr="004E19C5">
        <w:rPr>
          <w:rFonts w:eastAsia="Times New Roman"/>
          <w:lang w:eastAsia="en-US"/>
        </w:rPr>
        <w:t>;</w:t>
      </w:r>
      <w:r w:rsidR="002D750B" w:rsidRPr="004E19C5">
        <w:rPr>
          <w:rFonts w:eastAsia="Times New Roman"/>
          <w:lang w:eastAsia="en-US"/>
        </w:rPr>
        <w:t xml:space="preserve"> Lundberg and Squire</w:t>
      </w:r>
      <w:r w:rsidR="008144E2" w:rsidRPr="004E19C5">
        <w:rPr>
          <w:rFonts w:eastAsia="Times New Roman"/>
          <w:lang w:eastAsia="en-US"/>
        </w:rPr>
        <w:t>,</w:t>
      </w:r>
      <w:r w:rsidR="002D750B" w:rsidRPr="004E19C5">
        <w:rPr>
          <w:rFonts w:eastAsia="Times New Roman"/>
          <w:lang w:eastAsia="en-US"/>
        </w:rPr>
        <w:t xml:space="preserve"> 2003). Under severe criticism</w:t>
      </w:r>
      <w:r w:rsidR="00A6764C">
        <w:rPr>
          <w:rFonts w:eastAsia="Times New Roman"/>
          <w:lang w:eastAsia="en-US"/>
        </w:rPr>
        <w:t>,</w:t>
      </w:r>
      <w:r w:rsidR="002D750B" w:rsidRPr="004E19C5">
        <w:rPr>
          <w:rFonts w:eastAsia="Times New Roman"/>
          <w:lang w:eastAsia="en-US"/>
        </w:rPr>
        <w:t xml:space="preserve"> the IMF reluctantly included poverty alleviation in its lending considerations. For example, the IMF dutifully changed the names of its lending facilities from the vilified term </w:t>
      </w:r>
      <w:r w:rsidR="00A6764C">
        <w:rPr>
          <w:rFonts w:eastAsia="Times New Roman"/>
          <w:lang w:eastAsia="en-US"/>
        </w:rPr>
        <w:t>“</w:t>
      </w:r>
      <w:r w:rsidR="002D750B" w:rsidRPr="004E19C5">
        <w:rPr>
          <w:rFonts w:eastAsia="Times New Roman"/>
          <w:lang w:eastAsia="en-US"/>
        </w:rPr>
        <w:t>structural adjustment</w:t>
      </w:r>
      <w:r w:rsidR="00A6764C">
        <w:rPr>
          <w:rFonts w:eastAsia="Times New Roman"/>
          <w:lang w:eastAsia="en-US"/>
        </w:rPr>
        <w:t>”</w:t>
      </w:r>
      <w:r w:rsidR="002D750B" w:rsidRPr="004E19C5">
        <w:rPr>
          <w:rFonts w:eastAsia="Times New Roman"/>
          <w:lang w:eastAsia="en-US"/>
        </w:rPr>
        <w:t xml:space="preserve"> to the pro-poor sounding concept </w:t>
      </w:r>
      <w:r w:rsidR="00A6764C">
        <w:rPr>
          <w:rFonts w:eastAsia="Times New Roman"/>
          <w:lang w:eastAsia="en-US"/>
        </w:rPr>
        <w:t xml:space="preserve">of </w:t>
      </w:r>
      <w:r w:rsidR="002D750B" w:rsidRPr="004E19C5">
        <w:rPr>
          <w:rFonts w:eastAsia="Times New Roman"/>
          <w:lang w:eastAsia="en-US"/>
        </w:rPr>
        <w:t>poverty reduction.</w:t>
      </w:r>
      <w:r w:rsidR="003B5DD8" w:rsidRPr="004E19C5">
        <w:t xml:space="preserve"> I</w:t>
      </w:r>
      <w:r w:rsidR="003B5DD8" w:rsidRPr="004E19C5">
        <w:rPr>
          <w:rFonts w:eastAsia="Times New Roman"/>
          <w:lang w:eastAsia="en-US"/>
        </w:rPr>
        <w:t xml:space="preserve">n 1986, the IMF launched the Structural Adjustment Facility (SAF), which became the Enhanced Structural Adjustment Facility (ESAF) in 1989, and later </w:t>
      </w:r>
      <w:r w:rsidR="00A6764C">
        <w:rPr>
          <w:rFonts w:eastAsia="Times New Roman"/>
          <w:lang w:eastAsia="en-US"/>
        </w:rPr>
        <w:t xml:space="preserve">was </w:t>
      </w:r>
      <w:r w:rsidR="003B5DD8" w:rsidRPr="004E19C5">
        <w:rPr>
          <w:rFonts w:eastAsia="Times New Roman"/>
          <w:lang w:eastAsia="en-US"/>
        </w:rPr>
        <w:t>renamed the Poverty Reduction and Growth Facility (PRGF) in 1999. The Extended Credit Facility (ECF) is presently the reincarnation of the PRGF. Although the names have changed</w:t>
      </w:r>
      <w:r w:rsidR="00A6764C">
        <w:rPr>
          <w:rFonts w:eastAsia="Times New Roman"/>
          <w:lang w:eastAsia="en-US"/>
        </w:rPr>
        <w:t>,</w:t>
      </w:r>
      <w:r w:rsidR="003B5DD8" w:rsidRPr="004E19C5">
        <w:rPr>
          <w:rFonts w:eastAsia="Times New Roman"/>
          <w:lang w:eastAsia="en-US"/>
        </w:rPr>
        <w:t xml:space="preserve"> critics maintain that the loan conditions remain the same (Cunningham and Lavalette</w:t>
      </w:r>
      <w:r w:rsidR="008144E2" w:rsidRPr="004E19C5">
        <w:rPr>
          <w:rFonts w:eastAsia="Times New Roman"/>
          <w:lang w:eastAsia="en-US"/>
        </w:rPr>
        <w:t>,</w:t>
      </w:r>
      <w:r w:rsidR="003B5DD8" w:rsidRPr="004E19C5">
        <w:rPr>
          <w:rFonts w:eastAsia="Times New Roman"/>
          <w:lang w:eastAsia="en-US"/>
        </w:rPr>
        <w:t xml:space="preserve"> 2014).</w:t>
      </w:r>
      <w:r w:rsidR="003B5DD8" w:rsidRPr="004E19C5">
        <w:t xml:space="preserve"> </w:t>
      </w:r>
    </w:p>
    <w:p w14:paraId="4F9B2B6E" w14:textId="4190E0A8" w:rsidR="007514E0" w:rsidRPr="004E19C5" w:rsidRDefault="0092065E" w:rsidP="004E19C5">
      <w:pPr>
        <w:spacing w:line="360" w:lineRule="auto"/>
        <w:ind w:firstLine="720"/>
        <w:rPr>
          <w:rFonts w:eastAsia="Times New Roman"/>
          <w:lang w:eastAsia="en-US"/>
        </w:rPr>
      </w:pPr>
      <w:r w:rsidRPr="004E19C5">
        <w:rPr>
          <w:rFonts w:eastAsiaTheme="minorEastAsia"/>
          <w:lang w:eastAsia="en-US"/>
        </w:rPr>
        <w:t>IMF conditi</w:t>
      </w:r>
      <w:r w:rsidR="00303243" w:rsidRPr="004E19C5">
        <w:rPr>
          <w:rFonts w:eastAsiaTheme="minorEastAsia"/>
          <w:lang w:eastAsia="en-US"/>
        </w:rPr>
        <w:t>onali</w:t>
      </w:r>
      <w:r w:rsidR="007B40D5">
        <w:rPr>
          <w:rFonts w:eastAsiaTheme="minorEastAsia"/>
          <w:lang w:eastAsia="en-US"/>
        </w:rPr>
        <w:t>ties</w:t>
      </w:r>
      <w:r w:rsidR="00303243" w:rsidRPr="004E19C5">
        <w:rPr>
          <w:rFonts w:eastAsiaTheme="minorEastAsia"/>
          <w:lang w:eastAsia="en-US"/>
        </w:rPr>
        <w:t xml:space="preserve"> </w:t>
      </w:r>
      <w:r w:rsidR="007B40D5">
        <w:rPr>
          <w:rFonts w:eastAsiaTheme="minorEastAsia"/>
          <w:lang w:eastAsia="en-US"/>
        </w:rPr>
        <w:t>have</w:t>
      </w:r>
      <w:r w:rsidR="00AA3928" w:rsidRPr="004E19C5">
        <w:rPr>
          <w:rFonts w:eastAsiaTheme="minorEastAsia"/>
          <w:lang w:eastAsia="en-US"/>
        </w:rPr>
        <w:t xml:space="preserve"> </w:t>
      </w:r>
      <w:r w:rsidR="00303243" w:rsidRPr="004E19C5">
        <w:rPr>
          <w:rFonts w:eastAsiaTheme="minorEastAsia"/>
          <w:lang w:eastAsia="en-US"/>
        </w:rPr>
        <w:t>remain</w:t>
      </w:r>
      <w:r w:rsidR="00AA3928" w:rsidRPr="004E19C5">
        <w:rPr>
          <w:rFonts w:eastAsiaTheme="minorEastAsia"/>
          <w:lang w:eastAsia="en-US"/>
        </w:rPr>
        <w:t>ed</w:t>
      </w:r>
      <w:r w:rsidR="00303243" w:rsidRPr="004E19C5">
        <w:rPr>
          <w:rFonts w:eastAsiaTheme="minorEastAsia"/>
          <w:lang w:eastAsia="en-US"/>
        </w:rPr>
        <w:t xml:space="preserve"> a </w:t>
      </w:r>
      <w:r w:rsidRPr="004E19C5">
        <w:rPr>
          <w:rFonts w:eastAsiaTheme="minorEastAsia"/>
          <w:lang w:eastAsia="en-US"/>
        </w:rPr>
        <w:t>controversial</w:t>
      </w:r>
      <w:r w:rsidR="00B92076" w:rsidRPr="004E19C5">
        <w:rPr>
          <w:rFonts w:eastAsiaTheme="minorEastAsia"/>
          <w:lang w:eastAsia="en-US"/>
        </w:rPr>
        <w:t xml:space="preserve"> issue because they require the state to take corrective measures consistent with the Fund’s provisions and policies</w:t>
      </w:r>
      <w:r w:rsidR="008032F9" w:rsidRPr="004E19C5">
        <w:rPr>
          <w:rFonts w:eastAsiaTheme="minorEastAsia"/>
          <w:lang w:eastAsia="en-US"/>
        </w:rPr>
        <w:t xml:space="preserve"> </w:t>
      </w:r>
      <w:r w:rsidR="007B40D5">
        <w:rPr>
          <w:rFonts w:eastAsiaTheme="minorEastAsia"/>
          <w:lang w:eastAsia="en-US"/>
        </w:rPr>
        <w:t xml:space="preserve">and </w:t>
      </w:r>
      <w:r w:rsidR="008032F9" w:rsidRPr="004E19C5">
        <w:rPr>
          <w:rFonts w:eastAsiaTheme="minorEastAsia"/>
          <w:lang w:eastAsia="en-US"/>
        </w:rPr>
        <w:t xml:space="preserve">with little consideration </w:t>
      </w:r>
      <w:r w:rsidR="007B40D5">
        <w:rPr>
          <w:rFonts w:eastAsiaTheme="minorEastAsia"/>
          <w:lang w:eastAsia="en-US"/>
        </w:rPr>
        <w:t>for</w:t>
      </w:r>
      <w:r w:rsidR="008032F9" w:rsidRPr="004E19C5">
        <w:rPr>
          <w:rFonts w:eastAsiaTheme="minorEastAsia"/>
          <w:lang w:eastAsia="en-US"/>
        </w:rPr>
        <w:t xml:space="preserve">their socioeconomic </w:t>
      </w:r>
      <w:r w:rsidR="00303243" w:rsidRPr="004E19C5">
        <w:rPr>
          <w:rFonts w:eastAsiaTheme="minorEastAsia"/>
          <w:lang w:eastAsia="en-US"/>
        </w:rPr>
        <w:t>consequences</w:t>
      </w:r>
      <w:r w:rsidR="00B92076" w:rsidRPr="004E19C5">
        <w:rPr>
          <w:rFonts w:eastAsiaTheme="minorEastAsia"/>
          <w:lang w:eastAsia="en-US"/>
        </w:rPr>
        <w:t xml:space="preserve">. </w:t>
      </w:r>
      <w:r w:rsidR="00303243" w:rsidRPr="004E19C5">
        <w:rPr>
          <w:rFonts w:eastAsiaTheme="minorEastAsia"/>
          <w:lang w:eastAsia="en-US"/>
        </w:rPr>
        <w:t>The IMF reasons that market-friendly structural reforms, no matter how painful, are necessary for rapid and sustainable economic growth, which is a precondition for poverty reduction (Darrow</w:t>
      </w:r>
      <w:r w:rsidR="008144E2" w:rsidRPr="004E19C5">
        <w:rPr>
          <w:rFonts w:eastAsiaTheme="minorEastAsia"/>
          <w:lang w:eastAsia="en-US"/>
        </w:rPr>
        <w:t>,</w:t>
      </w:r>
      <w:r w:rsidR="00303243" w:rsidRPr="004E19C5">
        <w:rPr>
          <w:rFonts w:eastAsiaTheme="minorEastAsia"/>
          <w:lang w:eastAsia="en-US"/>
        </w:rPr>
        <w:t xml:space="preserve"> 2006</w:t>
      </w:r>
      <w:r w:rsidR="008144E2" w:rsidRPr="004E19C5">
        <w:rPr>
          <w:rFonts w:eastAsiaTheme="minorEastAsia"/>
          <w:lang w:eastAsia="en-US"/>
        </w:rPr>
        <w:t>;</w:t>
      </w:r>
      <w:r w:rsidR="00514524" w:rsidRPr="004E19C5">
        <w:rPr>
          <w:rFonts w:eastAsiaTheme="minorEastAsia"/>
          <w:lang w:eastAsia="en-US"/>
        </w:rPr>
        <w:t xml:space="preserve"> Blackmon</w:t>
      </w:r>
      <w:r w:rsidR="008144E2" w:rsidRPr="004E19C5">
        <w:rPr>
          <w:rFonts w:eastAsiaTheme="minorEastAsia"/>
          <w:lang w:eastAsia="en-US"/>
        </w:rPr>
        <w:t>,</w:t>
      </w:r>
      <w:r w:rsidR="00514524" w:rsidRPr="004E19C5">
        <w:rPr>
          <w:rFonts w:eastAsiaTheme="minorEastAsia"/>
          <w:lang w:eastAsia="en-US"/>
        </w:rPr>
        <w:t xml:space="preserve"> 2008</w:t>
      </w:r>
      <w:r w:rsidR="00303243" w:rsidRPr="004E19C5">
        <w:rPr>
          <w:rFonts w:eastAsiaTheme="minorEastAsia"/>
          <w:lang w:eastAsia="en-US"/>
        </w:rPr>
        <w:t>).</w:t>
      </w:r>
      <w:r w:rsidR="009802D0" w:rsidRPr="004E19C5">
        <w:rPr>
          <w:rFonts w:eastAsiaTheme="minorEastAsia"/>
          <w:lang w:eastAsia="en-US"/>
        </w:rPr>
        <w:t xml:space="preserve"> Thus, in the IMF’s opinion, SA</w:t>
      </w:r>
      <w:r w:rsidR="00C56E6E" w:rsidRPr="004E19C5">
        <w:rPr>
          <w:rFonts w:eastAsiaTheme="minorEastAsia"/>
          <w:lang w:eastAsia="en-US"/>
        </w:rPr>
        <w:t>P</w:t>
      </w:r>
      <w:r w:rsidR="009802D0" w:rsidRPr="004E19C5">
        <w:rPr>
          <w:rFonts w:eastAsiaTheme="minorEastAsia"/>
          <w:lang w:eastAsia="en-US"/>
        </w:rPr>
        <w:t>s will indirectly help realize the rights under the CRC and ICESCR.</w:t>
      </w:r>
      <w:r w:rsidR="00C56E6E" w:rsidRPr="004E19C5">
        <w:rPr>
          <w:rFonts w:eastAsiaTheme="minorEastAsia"/>
          <w:lang w:eastAsia="en-US"/>
        </w:rPr>
        <w:t xml:space="preserve"> Critics, in contrast, believe that government spending cuts required by the SAPs target social programs (</w:t>
      </w:r>
      <w:r w:rsidR="00400480" w:rsidRPr="004E19C5">
        <w:rPr>
          <w:rFonts w:eastAsiaTheme="minorEastAsia"/>
          <w:lang w:eastAsia="en-US"/>
        </w:rPr>
        <w:t xml:space="preserve">such as </w:t>
      </w:r>
      <w:r w:rsidR="00C56E6E" w:rsidRPr="004E19C5">
        <w:rPr>
          <w:rFonts w:eastAsiaTheme="minorEastAsia"/>
          <w:lang w:eastAsia="en-US"/>
        </w:rPr>
        <w:t>health, nutrition, and sanitation) essential for the reduction of child mortality.</w:t>
      </w:r>
      <w:r w:rsidR="00537A9F" w:rsidRPr="004E19C5">
        <w:rPr>
          <w:rStyle w:val="EndnoteReference"/>
          <w:rFonts w:eastAsiaTheme="minorEastAsia"/>
          <w:lang w:eastAsia="en-US"/>
        </w:rPr>
        <w:endnoteReference w:id="3"/>
      </w:r>
      <w:r w:rsidR="00BE245A" w:rsidRPr="004E19C5">
        <w:rPr>
          <w:rFonts w:eastAsiaTheme="minorEastAsia"/>
          <w:lang w:eastAsia="en-US"/>
        </w:rPr>
        <w:t xml:space="preserve"> </w:t>
      </w:r>
      <w:r w:rsidR="007514E0" w:rsidRPr="004E19C5">
        <w:t xml:space="preserve">An IMF review of its own procedures in 2012 found that although conditionalties were </w:t>
      </w:r>
      <w:r w:rsidR="009A7F2D" w:rsidRPr="004E19C5">
        <w:t>‘</w:t>
      </w:r>
      <w:r w:rsidR="007514E0" w:rsidRPr="004E19C5">
        <w:t>broadly appropriate</w:t>
      </w:r>
      <w:r w:rsidR="009A7F2D" w:rsidRPr="004E19C5">
        <w:t>’</w:t>
      </w:r>
      <w:r w:rsidR="007514E0" w:rsidRPr="004E19C5">
        <w:t xml:space="preserve"> (effective, streamlined, and utiliz</w:t>
      </w:r>
      <w:r w:rsidR="007B40D5">
        <w:t>ing</w:t>
      </w:r>
      <w:r w:rsidR="007514E0" w:rsidRPr="004E19C5">
        <w:t xml:space="preserve"> IMF expertise)</w:t>
      </w:r>
      <w:r w:rsidR="007B40D5">
        <w:t>,</w:t>
      </w:r>
      <w:r w:rsidR="007514E0" w:rsidRPr="004E19C5">
        <w:t xml:space="preserve"> macro-social issues (jobs and growth) and social protections needed to be pr</w:t>
      </w:r>
      <w:r w:rsidR="007B40D5">
        <w:t>eserved</w:t>
      </w:r>
      <w:r w:rsidR="007514E0" w:rsidRPr="004E19C5">
        <w:t xml:space="preserve"> during economic crises (IMF website). The IMF believes that its programs </w:t>
      </w:r>
      <w:r w:rsidR="009A7F2D" w:rsidRPr="004E19C5">
        <w:t>‘</w:t>
      </w:r>
      <w:r w:rsidR="007514E0" w:rsidRPr="004E19C5">
        <w:t>helps governments to protect and even increase social spending, including social assistance</w:t>
      </w:r>
      <w:r w:rsidR="009A7F2D" w:rsidRPr="004E19C5">
        <w:t>’</w:t>
      </w:r>
      <w:r w:rsidR="007514E0" w:rsidRPr="004E19C5">
        <w:t xml:space="preserve"> in order to mitigate the impact of lending programs and </w:t>
      </w:r>
      <w:r w:rsidR="00983751">
        <w:t xml:space="preserve">to </w:t>
      </w:r>
      <w:r w:rsidR="007514E0" w:rsidRPr="004E19C5">
        <w:t>protect the most vulnerable people in society (IMF website).</w:t>
      </w:r>
    </w:p>
    <w:p w14:paraId="69B8EF26" w14:textId="77777777" w:rsidR="008C30C1" w:rsidRPr="004E19C5" w:rsidRDefault="008C30C1" w:rsidP="004E19C5">
      <w:pPr>
        <w:spacing w:line="360" w:lineRule="auto"/>
      </w:pPr>
    </w:p>
    <w:p w14:paraId="6C99488D" w14:textId="284F03C4" w:rsidR="000F73E5" w:rsidRPr="004E19C5" w:rsidRDefault="00E153E5" w:rsidP="004E19C5">
      <w:pPr>
        <w:spacing w:line="360" w:lineRule="auto"/>
      </w:pPr>
      <w:r w:rsidRPr="004E19C5">
        <w:t>E</w:t>
      </w:r>
      <w:r w:rsidR="0013743E" w:rsidRPr="004E19C5">
        <w:t xml:space="preserve">CONOMIC REPERCUSSION OF CHILD MORTALITY  </w:t>
      </w:r>
    </w:p>
    <w:p w14:paraId="662143A7" w14:textId="2D6D2219" w:rsidR="00D56C68" w:rsidRPr="004E19C5" w:rsidRDefault="00E77E56" w:rsidP="004E19C5">
      <w:pPr>
        <w:pStyle w:val="NoSpacing"/>
        <w:spacing w:line="360" w:lineRule="auto"/>
        <w:rPr>
          <w:lang w:eastAsia="en-US"/>
        </w:rPr>
      </w:pPr>
      <w:r w:rsidRPr="004E19C5">
        <w:rPr>
          <w:lang w:eastAsia="en-US"/>
        </w:rPr>
        <w:t xml:space="preserve">Child mortality ought to be of grave concern for the </w:t>
      </w:r>
      <w:r w:rsidR="00F90703" w:rsidRPr="004E19C5">
        <w:rPr>
          <w:lang w:eastAsia="en-US"/>
        </w:rPr>
        <w:t>IFI</w:t>
      </w:r>
      <w:r w:rsidR="009A01C9" w:rsidRPr="004E19C5">
        <w:rPr>
          <w:lang w:eastAsia="en-US"/>
        </w:rPr>
        <w:t>s</w:t>
      </w:r>
      <w:r w:rsidRPr="004E19C5">
        <w:rPr>
          <w:lang w:eastAsia="en-US"/>
        </w:rPr>
        <w:t xml:space="preserve"> due to mortality’s impact on economic development. Kirigial </w:t>
      </w:r>
      <w:r w:rsidR="00800267" w:rsidRPr="004E19C5">
        <w:rPr>
          <w:lang w:eastAsia="en-US"/>
        </w:rPr>
        <w:t>et al.</w:t>
      </w:r>
      <w:r w:rsidRPr="004E19C5">
        <w:rPr>
          <w:lang w:eastAsia="en-US"/>
        </w:rPr>
        <w:t xml:space="preserve"> contend that child mortality </w:t>
      </w:r>
    </w:p>
    <w:p w14:paraId="556928DC" w14:textId="116F3A2E" w:rsidR="00D56C68" w:rsidRPr="004E19C5" w:rsidRDefault="00E77E56" w:rsidP="004E19C5">
      <w:pPr>
        <w:pStyle w:val="NoSpacing"/>
        <w:spacing w:line="360" w:lineRule="auto"/>
        <w:ind w:left="720"/>
        <w:rPr>
          <w:rFonts w:eastAsia="Times New Roman"/>
          <w:lang w:eastAsia="en-US"/>
        </w:rPr>
      </w:pPr>
      <w:r w:rsidRPr="004E19C5">
        <w:rPr>
          <w:rFonts w:eastAsia="Times New Roman"/>
          <w:lang w:eastAsia="en-US"/>
        </w:rPr>
        <w:t>increase[s] health expenditure, cause attrition of future labour and productivity, and erode investments in human and physical capital formation...Child deaths reduce future spending on goods and services; future labour force; future household savings, and hence investments; the number of future tax payers, and hence future tax revenues; and the number of future exports producers, bleeding future exp</w:t>
      </w:r>
      <w:r w:rsidR="00D56C68" w:rsidRPr="004E19C5">
        <w:rPr>
          <w:rFonts w:eastAsia="Times New Roman"/>
          <w:lang w:eastAsia="en-US"/>
        </w:rPr>
        <w:t>orts earnings</w:t>
      </w:r>
      <w:r w:rsidRPr="004E19C5">
        <w:rPr>
          <w:rFonts w:eastAsia="Times New Roman"/>
          <w:lang w:eastAsia="en-US"/>
        </w:rPr>
        <w:t xml:space="preserve"> (2015</w:t>
      </w:r>
      <w:r w:rsidR="008144E2" w:rsidRPr="004E19C5">
        <w:rPr>
          <w:rFonts w:eastAsia="Times New Roman"/>
          <w:lang w:eastAsia="en-US"/>
        </w:rPr>
        <w:t xml:space="preserve">, </w:t>
      </w:r>
      <w:r w:rsidRPr="004E19C5">
        <w:rPr>
          <w:rFonts w:eastAsia="Times New Roman"/>
          <w:lang w:eastAsia="en-US"/>
        </w:rPr>
        <w:t xml:space="preserve">1107). </w:t>
      </w:r>
    </w:p>
    <w:p w14:paraId="76BB8022" w14:textId="010F7949" w:rsidR="008C30C1" w:rsidRPr="004E19C5" w:rsidRDefault="00E77E56" w:rsidP="004E19C5">
      <w:pPr>
        <w:spacing w:line="360" w:lineRule="auto"/>
      </w:pPr>
      <w:r w:rsidRPr="004E19C5">
        <w:rPr>
          <w:rFonts w:eastAsia="Times New Roman"/>
          <w:lang w:eastAsia="en-US"/>
        </w:rPr>
        <w:t>Using a cost-of-illness model</w:t>
      </w:r>
      <w:r w:rsidR="00DF5DB0">
        <w:rPr>
          <w:rFonts w:eastAsia="Times New Roman"/>
          <w:lang w:eastAsia="en-US"/>
        </w:rPr>
        <w:t>,</w:t>
      </w:r>
      <w:r w:rsidRPr="004E19C5">
        <w:rPr>
          <w:rFonts w:eastAsia="Times New Roman"/>
          <w:lang w:eastAsia="en-US"/>
        </w:rPr>
        <w:t xml:space="preserve"> Kirigial </w:t>
      </w:r>
      <w:r w:rsidR="00800267" w:rsidRPr="004E19C5">
        <w:rPr>
          <w:rFonts w:eastAsia="Times New Roman"/>
          <w:lang w:eastAsia="en-US"/>
        </w:rPr>
        <w:t>et al.</w:t>
      </w:r>
      <w:r w:rsidRPr="004E19C5">
        <w:rPr>
          <w:rFonts w:eastAsia="Times New Roman"/>
          <w:lang w:eastAsia="en-US"/>
        </w:rPr>
        <w:t xml:space="preserve"> (2015) determine that the non-health GDP future loss due to Africa’s 2.96 million child deaths in 2013 </w:t>
      </w:r>
      <w:r w:rsidR="00DF5DB0">
        <w:rPr>
          <w:rFonts w:eastAsia="Times New Roman"/>
          <w:lang w:eastAsia="en-US"/>
        </w:rPr>
        <w:t>wa</w:t>
      </w:r>
      <w:r w:rsidRPr="004E19C5">
        <w:rPr>
          <w:rFonts w:eastAsia="Times New Roman"/>
          <w:lang w:eastAsia="en-US"/>
        </w:rPr>
        <w:t xml:space="preserve">s $150.3 billion. </w:t>
      </w:r>
      <w:r w:rsidR="00593946" w:rsidRPr="004E19C5">
        <w:rPr>
          <w:rFonts w:eastAsia="Times New Roman"/>
          <w:lang w:eastAsia="en-US"/>
        </w:rPr>
        <w:t xml:space="preserve">Indeed, </w:t>
      </w:r>
      <w:r w:rsidR="00593946" w:rsidRPr="004E19C5">
        <w:t>Soares (2005) found that l</w:t>
      </w:r>
      <w:r w:rsidR="006D3F20" w:rsidRPr="004E19C5">
        <w:t xml:space="preserve">arger investments in children increase productivity and growth. </w:t>
      </w:r>
      <w:r w:rsidR="004926B3" w:rsidRPr="004E19C5">
        <w:rPr>
          <w:rStyle w:val="authors"/>
          <w:rFonts w:eastAsia="Times New Roman"/>
        </w:rPr>
        <w:t xml:space="preserve">Declines in child mortality rates are associated with increased </w:t>
      </w:r>
      <w:r w:rsidR="00F95A6E" w:rsidRPr="004E19C5">
        <w:rPr>
          <w:lang w:eastAsia="en-US"/>
        </w:rPr>
        <w:t>parental investment in the health and education of their children, which will have large beneficial effects on children’s physical and cognitive development (</w:t>
      </w:r>
      <w:r w:rsidR="00BC6420" w:rsidRPr="004E19C5">
        <w:rPr>
          <w:rStyle w:val="authors"/>
          <w:rFonts w:eastAsia="Times New Roman"/>
        </w:rPr>
        <w:t>Kalemli</w:t>
      </w:r>
      <w:r w:rsidR="004926B3" w:rsidRPr="004E19C5">
        <w:rPr>
          <w:rStyle w:val="authors"/>
          <w:rFonts w:eastAsia="Times New Roman"/>
        </w:rPr>
        <w:t>-Ozcan</w:t>
      </w:r>
      <w:r w:rsidR="008144E2" w:rsidRPr="004E19C5">
        <w:rPr>
          <w:rStyle w:val="authors"/>
          <w:rFonts w:eastAsia="Times New Roman"/>
        </w:rPr>
        <w:t>,</w:t>
      </w:r>
      <w:r w:rsidR="004926B3" w:rsidRPr="004E19C5">
        <w:rPr>
          <w:rStyle w:val="authors"/>
          <w:rFonts w:eastAsia="Times New Roman"/>
        </w:rPr>
        <w:t xml:space="preserve"> 2002</w:t>
      </w:r>
      <w:r w:rsidR="008144E2" w:rsidRPr="004E19C5">
        <w:rPr>
          <w:rStyle w:val="authors"/>
          <w:rFonts w:eastAsia="Times New Roman"/>
        </w:rPr>
        <w:t>;</w:t>
      </w:r>
      <w:r w:rsidR="004926B3" w:rsidRPr="004E19C5">
        <w:rPr>
          <w:rStyle w:val="authors"/>
          <w:rFonts w:eastAsia="Times New Roman"/>
        </w:rPr>
        <w:t xml:space="preserve"> </w:t>
      </w:r>
      <w:r w:rsidR="00F95A6E" w:rsidRPr="004E19C5">
        <w:rPr>
          <w:lang w:eastAsia="en-US"/>
        </w:rPr>
        <w:t>Canning and Schultz</w:t>
      </w:r>
      <w:r w:rsidR="008144E2" w:rsidRPr="004E19C5">
        <w:rPr>
          <w:lang w:eastAsia="en-US"/>
        </w:rPr>
        <w:t>,</w:t>
      </w:r>
      <w:r w:rsidR="00F95A6E" w:rsidRPr="004E19C5">
        <w:rPr>
          <w:lang w:eastAsia="en-US"/>
        </w:rPr>
        <w:t xml:space="preserve"> 2012). </w:t>
      </w:r>
      <w:r w:rsidR="004926B3" w:rsidRPr="004E19C5">
        <w:rPr>
          <w:rStyle w:val="authors"/>
          <w:rFonts w:eastAsia="Times New Roman"/>
        </w:rPr>
        <w:t>The rise in human capital accumulation</w:t>
      </w:r>
      <w:r w:rsidR="00963024" w:rsidRPr="004E19C5">
        <w:rPr>
          <w:rStyle w:val="authors"/>
          <w:rFonts w:eastAsia="Times New Roman"/>
        </w:rPr>
        <w:t xml:space="preserve"> and improved</w:t>
      </w:r>
      <w:r w:rsidR="00963024" w:rsidRPr="004E19C5">
        <w:rPr>
          <w:lang w:eastAsia="en-US"/>
        </w:rPr>
        <w:t xml:space="preserve"> worker performance</w:t>
      </w:r>
      <w:r w:rsidR="004926B3" w:rsidRPr="004E19C5">
        <w:rPr>
          <w:rStyle w:val="authors"/>
          <w:rFonts w:eastAsia="Times New Roman"/>
        </w:rPr>
        <w:t xml:space="preserve"> </w:t>
      </w:r>
      <w:r w:rsidR="0002184C" w:rsidRPr="004E19C5">
        <w:rPr>
          <w:lang w:eastAsia="en-US"/>
        </w:rPr>
        <w:t xml:space="preserve">will have positive outcomes for economic growth and development. </w:t>
      </w:r>
      <w:r w:rsidR="00BB1F3C" w:rsidRPr="004E19C5">
        <w:t>Thus</w:t>
      </w:r>
      <w:r w:rsidR="007770A3" w:rsidRPr="004E19C5">
        <w:t>, there are sound economic reasons for improving child welfare.</w:t>
      </w:r>
      <w:r w:rsidR="00A42D61" w:rsidRPr="004E19C5">
        <w:t xml:space="preserve"> </w:t>
      </w:r>
      <w:r w:rsidR="00FF23E1" w:rsidRPr="004E19C5">
        <w:rPr>
          <w:rFonts w:eastAsiaTheme="minorEastAsia"/>
          <w:lang w:eastAsia="en-US"/>
        </w:rPr>
        <w:t xml:space="preserve">Countries with low-income levels have high child mortality rates while high child morality reduces economic growth. </w:t>
      </w:r>
      <w:r w:rsidR="00D05BE2" w:rsidRPr="004E19C5">
        <w:rPr>
          <w:rFonts w:eastAsiaTheme="minorEastAsia"/>
          <w:lang w:eastAsia="en-US"/>
        </w:rPr>
        <w:t>Therefore, lending for programs to reduce child mortality can promote economic development</w:t>
      </w:r>
      <w:r w:rsidR="009A01C9" w:rsidRPr="004E19C5">
        <w:rPr>
          <w:rFonts w:eastAsiaTheme="minorEastAsia"/>
          <w:lang w:eastAsia="en-US"/>
        </w:rPr>
        <w:t>—the stated goals of IFI lending</w:t>
      </w:r>
      <w:r w:rsidR="00D05BE2" w:rsidRPr="004E19C5">
        <w:rPr>
          <w:rFonts w:eastAsiaTheme="minorEastAsia"/>
          <w:lang w:eastAsia="en-US"/>
        </w:rPr>
        <w:t>.</w:t>
      </w:r>
      <w:r w:rsidR="00FF23E1" w:rsidRPr="004E19C5">
        <w:rPr>
          <w:rFonts w:eastAsiaTheme="minorEastAsia"/>
          <w:lang w:eastAsia="en-US"/>
        </w:rPr>
        <w:t xml:space="preserve"> </w:t>
      </w:r>
      <w:r w:rsidR="009A75F1" w:rsidRPr="004E19C5">
        <w:rPr>
          <w:lang w:eastAsia="en-US"/>
        </w:rPr>
        <w:t>Certainly</w:t>
      </w:r>
      <w:r w:rsidR="00B07AF5">
        <w:rPr>
          <w:lang w:eastAsia="en-US"/>
        </w:rPr>
        <w:t>,</w:t>
      </w:r>
      <w:r w:rsidR="009A75F1" w:rsidRPr="004E19C5">
        <w:rPr>
          <w:lang w:eastAsia="en-US"/>
        </w:rPr>
        <w:t xml:space="preserve"> the impact of child mortality on current or future rates of economic growth and development would constitute </w:t>
      </w:r>
      <w:r w:rsidR="009A7F2D" w:rsidRPr="004E19C5">
        <w:rPr>
          <w:lang w:eastAsia="en-US"/>
        </w:rPr>
        <w:t>‘</w:t>
      </w:r>
      <w:r w:rsidR="009A75F1" w:rsidRPr="004E19C5">
        <w:rPr>
          <w:shd w:val="clear" w:color="auto" w:fill="FFFFFF"/>
          <w:lang w:eastAsia="en-US"/>
        </w:rPr>
        <w:t>economic consideration</w:t>
      </w:r>
      <w:r w:rsidR="009A7F2D" w:rsidRPr="004E19C5">
        <w:rPr>
          <w:lang w:eastAsia="en-US"/>
        </w:rPr>
        <w:t>’</w:t>
      </w:r>
      <w:r w:rsidR="009A75F1" w:rsidRPr="004E19C5">
        <w:rPr>
          <w:lang w:eastAsia="en-US"/>
        </w:rPr>
        <w:t xml:space="preserve"> under the Articles of Agreement.</w:t>
      </w:r>
      <w:r w:rsidR="008C30C1" w:rsidRPr="004E19C5">
        <w:t xml:space="preserve"> Yet, work by Hoddie and Hartzell (2014) found that IMF lending exposes the recipient government’s population to adverse health outcomes both in the short and the long</w:t>
      </w:r>
      <w:r w:rsidR="00B07AF5">
        <w:t xml:space="preserve">er </w:t>
      </w:r>
      <w:r w:rsidR="008C30C1" w:rsidRPr="004E19C5">
        <w:t>term</w:t>
      </w:r>
      <w:r w:rsidR="00B07AF5">
        <w:t>s</w:t>
      </w:r>
      <w:r w:rsidR="008C30C1" w:rsidRPr="004E19C5">
        <w:t>.</w:t>
      </w:r>
    </w:p>
    <w:p w14:paraId="064AB3AB" w14:textId="77777777" w:rsidR="0076443A" w:rsidRPr="004E19C5" w:rsidRDefault="0076443A" w:rsidP="004E19C5">
      <w:pPr>
        <w:spacing w:line="360" w:lineRule="auto"/>
      </w:pPr>
    </w:p>
    <w:p w14:paraId="2757720E" w14:textId="165385EC" w:rsidR="00C164F4" w:rsidRPr="004E19C5" w:rsidRDefault="00FB1020" w:rsidP="004E19C5">
      <w:pPr>
        <w:spacing w:line="360" w:lineRule="auto"/>
      </w:pPr>
      <w:r w:rsidRPr="004E19C5">
        <w:t>R</w:t>
      </w:r>
      <w:r w:rsidR="0013743E" w:rsidRPr="004E19C5">
        <w:t>ESEARCH DESIGN AND METHODS</w:t>
      </w:r>
    </w:p>
    <w:p w14:paraId="297F6389" w14:textId="7A09A2C1" w:rsidR="00F1588F" w:rsidRPr="004E19C5" w:rsidRDefault="00F1588F" w:rsidP="004E19C5">
      <w:pPr>
        <w:spacing w:line="360" w:lineRule="auto"/>
        <w:rPr>
          <w:rFonts w:eastAsia="Times New Roman"/>
        </w:rPr>
      </w:pPr>
      <w:r w:rsidRPr="004E19C5">
        <w:t>This study attempts to initiate an investigation of the effects of IFI lending on child mortality rates. This study uses an unbalanced panel of observations from 163 developing countries, covering the years 1996-2013 for an n= 2934 (list of countries included in the study</w:t>
      </w:r>
      <w:r w:rsidR="00830015" w:rsidRPr="004E19C5">
        <w:t xml:space="preserve"> available on request</w:t>
      </w:r>
      <w:r w:rsidRPr="004E19C5">
        <w:t xml:space="preserve">). </w:t>
      </w:r>
    </w:p>
    <w:p w14:paraId="171A3B64" w14:textId="707AEF06" w:rsidR="00F1588F" w:rsidRPr="004E19C5" w:rsidRDefault="00F1588F" w:rsidP="004E19C5">
      <w:pPr>
        <w:spacing w:line="360" w:lineRule="auto"/>
        <w:ind w:firstLine="720"/>
        <w:rPr>
          <w:rFonts w:eastAsia="Times New Roman"/>
        </w:rPr>
      </w:pPr>
      <w:r w:rsidRPr="004E19C5">
        <w:t>The models are estimated using a cross-sectional time series with country fixed effe</w:t>
      </w:r>
      <w:r w:rsidR="00C244D0" w:rsidRPr="004E19C5">
        <w:t xml:space="preserve">cts with robust standard errors. </w:t>
      </w:r>
      <w:r w:rsidRPr="004E19C5">
        <w:t>The cross-sectional time series allows the researcher to pool the data, taking advantage of both the spatial (cross-sectional units of observation</w:t>
      </w:r>
      <w:r w:rsidRPr="004E19C5">
        <w:rPr>
          <w:rFonts w:eastAsia="Times New Roman"/>
          <w:lang w:eastAsia="en-US"/>
        </w:rPr>
        <w:t xml:space="preserve"> reflected in the differences between cases</w:t>
      </w:r>
      <w:r w:rsidRPr="004E19C5">
        <w:t>) and temporal (observations over a particular time span</w:t>
      </w:r>
      <w:r w:rsidRPr="004E19C5">
        <w:rPr>
          <w:rFonts w:eastAsia="Times New Roman"/>
          <w:lang w:eastAsia="en-US"/>
        </w:rPr>
        <w:t xml:space="preserve"> or within-subject information reflected in the changes within cases over time</w:t>
      </w:r>
      <w:r w:rsidRPr="004E19C5">
        <w:t xml:space="preserve">) dimensions of the data set. </w:t>
      </w:r>
      <w:r w:rsidRPr="004E19C5">
        <w:rPr>
          <w:rFonts w:eastAsiaTheme="minorEastAsia"/>
          <w:lang w:eastAsia="en-US"/>
        </w:rPr>
        <w:t>Fixed effects regression is the appropriate model to use to control for omitted variables</w:t>
      </w:r>
      <w:r w:rsidR="008B2771" w:rsidRPr="004E19C5">
        <w:rPr>
          <w:rFonts w:eastAsiaTheme="minorEastAsia"/>
          <w:lang w:eastAsia="en-US"/>
        </w:rPr>
        <w:t xml:space="preserve"> or</w:t>
      </w:r>
      <w:r w:rsidR="005540EF" w:rsidRPr="004E19C5">
        <w:rPr>
          <w:rFonts w:eastAsiaTheme="minorEastAsia"/>
          <w:lang w:eastAsia="en-US"/>
        </w:rPr>
        <w:t xml:space="preserve"> </w:t>
      </w:r>
      <w:r w:rsidR="005540EF" w:rsidRPr="004E19C5">
        <w:rPr>
          <w:bCs/>
        </w:rPr>
        <w:t>unobservable variables that may affect both lending and child mortality</w:t>
      </w:r>
      <w:r w:rsidR="00B47B15">
        <w:rPr>
          <w:rFonts w:eastAsiaTheme="minorEastAsia"/>
          <w:lang w:eastAsia="en-US"/>
        </w:rPr>
        <w:t xml:space="preserve"> and</w:t>
      </w:r>
      <w:r w:rsidRPr="004E19C5">
        <w:rPr>
          <w:rFonts w:eastAsiaTheme="minorEastAsia"/>
          <w:lang w:eastAsia="en-US"/>
        </w:rPr>
        <w:t xml:space="preserve"> that differ between cases but are constant over time </w:t>
      </w:r>
      <w:r w:rsidRPr="004E19C5">
        <w:t>(Princeton University Data and Statistical Service).</w:t>
      </w:r>
      <w:r w:rsidRPr="004E19C5">
        <w:rPr>
          <w:rFonts w:eastAsiaTheme="minorEastAsia"/>
          <w:lang w:eastAsia="en-US"/>
        </w:rPr>
        <w:t xml:space="preserve"> </w:t>
      </w:r>
      <w:r w:rsidRPr="004E19C5">
        <w:t>The Hausman specification test substantiated that the correct model is a fixed effects model. The equation for the fixed effects model becomes:</w:t>
      </w:r>
    </w:p>
    <w:p w14:paraId="64651CC7" w14:textId="4DB6113B" w:rsidR="00F1588F" w:rsidRPr="004E19C5" w:rsidRDefault="00F1588F" w:rsidP="004E19C5">
      <w:pPr>
        <w:spacing w:line="360" w:lineRule="auto"/>
        <w:jc w:val="center"/>
      </w:pPr>
      <w:r w:rsidRPr="004E19C5">
        <w:t>Y</w:t>
      </w:r>
      <w:r w:rsidRPr="004E19C5">
        <w:rPr>
          <w:vertAlign w:val="subscript"/>
        </w:rPr>
        <w:t xml:space="preserve">it </w:t>
      </w:r>
      <w:r w:rsidRPr="004E19C5">
        <w:t>= β</w:t>
      </w:r>
      <w:r w:rsidRPr="004E19C5">
        <w:rPr>
          <w:vertAlign w:val="subscript"/>
        </w:rPr>
        <w:t>1</w:t>
      </w:r>
      <w:r w:rsidRPr="004E19C5">
        <w:t>X</w:t>
      </w:r>
      <w:r w:rsidRPr="004E19C5">
        <w:rPr>
          <w:vertAlign w:val="subscript"/>
        </w:rPr>
        <w:t>it</w:t>
      </w:r>
      <w:r w:rsidRPr="004E19C5">
        <w:t xml:space="preserve"> + α</w:t>
      </w:r>
      <w:r w:rsidRPr="004E19C5">
        <w:rPr>
          <w:vertAlign w:val="subscript"/>
        </w:rPr>
        <w:t xml:space="preserve">i </w:t>
      </w:r>
      <w:r w:rsidRPr="004E19C5">
        <w:t>+ u</w:t>
      </w:r>
      <w:r w:rsidRPr="004E19C5">
        <w:rPr>
          <w:vertAlign w:val="subscript"/>
        </w:rPr>
        <w:t>it</w:t>
      </w:r>
    </w:p>
    <w:p w14:paraId="160DFA01" w14:textId="77777777" w:rsidR="00F1588F" w:rsidRPr="004E19C5" w:rsidRDefault="00F1588F" w:rsidP="004E19C5">
      <w:pPr>
        <w:spacing w:line="360" w:lineRule="auto"/>
      </w:pPr>
      <w:r w:rsidRPr="004E19C5">
        <w:t xml:space="preserve">Where: </w:t>
      </w:r>
    </w:p>
    <w:p w14:paraId="313CA792" w14:textId="7EBCCEFC" w:rsidR="00F1588F" w:rsidRPr="004E19C5" w:rsidRDefault="00F1588F" w:rsidP="004E19C5">
      <w:pPr>
        <w:spacing w:line="360" w:lineRule="auto"/>
        <w:ind w:left="720"/>
      </w:pPr>
      <w:r w:rsidRPr="004E19C5">
        <w:t>αi</w:t>
      </w:r>
      <w:r w:rsidRPr="004E19C5">
        <w:rPr>
          <w:vertAlign w:val="subscript"/>
        </w:rPr>
        <w:t>i</w:t>
      </w:r>
      <w:r w:rsidRPr="004E19C5">
        <w:t xml:space="preserve"> (i=1….n) is the unknown intercept for each </w:t>
      </w:r>
      <w:r w:rsidR="00C45AC1" w:rsidRPr="004E19C5">
        <w:t xml:space="preserve">country </w:t>
      </w:r>
      <w:r w:rsidRPr="004E19C5">
        <w:t>(n case-specific intercepts);</w:t>
      </w:r>
    </w:p>
    <w:p w14:paraId="7EF55025" w14:textId="43701DBF" w:rsidR="00F1588F" w:rsidRPr="004E19C5" w:rsidRDefault="00F1588F" w:rsidP="004E19C5">
      <w:pPr>
        <w:spacing w:line="360" w:lineRule="auto"/>
        <w:ind w:left="720"/>
      </w:pPr>
      <w:r w:rsidRPr="004E19C5">
        <w:t>Y</w:t>
      </w:r>
      <w:r w:rsidRPr="004E19C5">
        <w:rPr>
          <w:vertAlign w:val="subscript"/>
        </w:rPr>
        <w:t>it</w:t>
      </w:r>
      <w:r w:rsidRPr="004E19C5">
        <w:t xml:space="preserve"> is the dependent variable (DV) where i = c</w:t>
      </w:r>
      <w:r w:rsidR="00C45AC1" w:rsidRPr="004E19C5">
        <w:t>ountry</w:t>
      </w:r>
      <w:r w:rsidRPr="004E19C5">
        <w:t xml:space="preserve"> and t = time;</w:t>
      </w:r>
    </w:p>
    <w:p w14:paraId="24109FEB" w14:textId="77777777" w:rsidR="00F1588F" w:rsidRPr="004E19C5" w:rsidRDefault="00F1588F" w:rsidP="004E19C5">
      <w:pPr>
        <w:spacing w:line="360" w:lineRule="auto"/>
        <w:ind w:left="720"/>
      </w:pPr>
      <w:r w:rsidRPr="004E19C5">
        <w:t>X</w:t>
      </w:r>
      <w:r w:rsidRPr="004E19C5">
        <w:rPr>
          <w:vertAlign w:val="subscript"/>
        </w:rPr>
        <w:t>it</w:t>
      </w:r>
      <w:r w:rsidRPr="004E19C5">
        <w:t xml:space="preserve"> represents one independent variable (IV);</w:t>
      </w:r>
    </w:p>
    <w:p w14:paraId="2CD3B33E" w14:textId="77777777" w:rsidR="00F1588F" w:rsidRPr="004E19C5" w:rsidRDefault="00F1588F" w:rsidP="004E19C5">
      <w:pPr>
        <w:spacing w:line="360" w:lineRule="auto"/>
        <w:ind w:left="720"/>
      </w:pPr>
      <w:r w:rsidRPr="004E19C5">
        <w:t>β</w:t>
      </w:r>
      <w:r w:rsidRPr="004E19C5">
        <w:rPr>
          <w:vertAlign w:val="subscript"/>
        </w:rPr>
        <w:t>1</w:t>
      </w:r>
      <w:r w:rsidRPr="004E19C5">
        <w:t xml:space="preserve"> is the coefficient for that IV;</w:t>
      </w:r>
    </w:p>
    <w:p w14:paraId="48EB25AD" w14:textId="4BC02D6F" w:rsidR="0064515E" w:rsidRPr="004E19C5" w:rsidRDefault="00F1588F" w:rsidP="004E19C5">
      <w:pPr>
        <w:spacing w:line="360" w:lineRule="auto"/>
        <w:ind w:left="720"/>
      </w:pPr>
      <w:r w:rsidRPr="004E19C5">
        <w:t>u</w:t>
      </w:r>
      <w:r w:rsidRPr="004E19C5">
        <w:rPr>
          <w:vertAlign w:val="subscript"/>
        </w:rPr>
        <w:t>it</w:t>
      </w:r>
      <w:r w:rsidRPr="004E19C5">
        <w:t xml:space="preserve"> is the error term</w:t>
      </w:r>
    </w:p>
    <w:p w14:paraId="294FEC3F" w14:textId="6EBF6D49" w:rsidR="0064515E" w:rsidRPr="004E19C5" w:rsidRDefault="0064515E" w:rsidP="004E19C5">
      <w:pPr>
        <w:pStyle w:val="BodyTextIndent"/>
        <w:spacing w:line="360" w:lineRule="auto"/>
        <w:ind w:firstLine="0"/>
      </w:pPr>
      <w:r w:rsidRPr="004E19C5">
        <w:t xml:space="preserve">To minimize the problems of heteroskedasticity associated with using data with a large range of distributions, data are logged where appropriate. </w:t>
      </w:r>
      <w:r w:rsidR="00200749" w:rsidRPr="004E19C5">
        <w:t>Unless otherwise noted the data used in this study w</w:t>
      </w:r>
      <w:r w:rsidR="00677770">
        <w:t>ere</w:t>
      </w:r>
      <w:r w:rsidR="00200749" w:rsidRPr="004E19C5">
        <w:t xml:space="preserve"> obtained from the Bank’s World Development Indicators online database (</w:t>
      </w:r>
      <w:hyperlink r:id="rId9" w:history="1">
        <w:r w:rsidR="00200749" w:rsidRPr="004E19C5">
          <w:rPr>
            <w:rStyle w:val="Hyperlink"/>
            <w:color w:val="auto"/>
          </w:rPr>
          <w:t>http://databank.worldbank.org</w:t>
        </w:r>
      </w:hyperlink>
      <w:r w:rsidR="00200749" w:rsidRPr="004E19C5">
        <w:t>).</w:t>
      </w:r>
      <w:r w:rsidR="00B27B4E" w:rsidRPr="004E19C5">
        <w:t xml:space="preserve"> </w:t>
      </w:r>
      <w:r w:rsidR="00830015" w:rsidRPr="004E19C5">
        <w:t>Appendix</w:t>
      </w:r>
      <w:r w:rsidR="00B27B4E" w:rsidRPr="004E19C5">
        <w:t xml:space="preserve"> </w:t>
      </w:r>
      <w:r w:rsidR="00E91A90" w:rsidRPr="004E19C5">
        <w:t>A</w:t>
      </w:r>
      <w:r w:rsidR="00B27B4E" w:rsidRPr="004E19C5">
        <w:t xml:space="preserve"> presents the descriptive statistics of the dependent and independent variables used in this study.</w:t>
      </w:r>
    </w:p>
    <w:p w14:paraId="22ED3602" w14:textId="2939DE96" w:rsidR="007E335D" w:rsidRPr="004E19C5" w:rsidRDefault="006F6001" w:rsidP="004E19C5">
      <w:pPr>
        <w:pStyle w:val="NoSpacing"/>
        <w:spacing w:line="360" w:lineRule="auto"/>
        <w:ind w:firstLine="720"/>
      </w:pPr>
      <w:r w:rsidRPr="004E19C5">
        <w:t xml:space="preserve">The dependent variable is child mortality rates. </w:t>
      </w:r>
      <w:r w:rsidR="00880376" w:rsidRPr="004E19C5">
        <w:rPr>
          <w:shd w:val="clear" w:color="auto" w:fill="FFFFFF"/>
          <w:lang w:eastAsia="en-US"/>
        </w:rPr>
        <w:t xml:space="preserve">Child </w:t>
      </w:r>
      <w:r w:rsidRPr="004E19C5">
        <w:rPr>
          <w:shd w:val="clear" w:color="auto" w:fill="FFFFFF"/>
          <w:lang w:eastAsia="en-US"/>
        </w:rPr>
        <w:t>mortality is</w:t>
      </w:r>
      <w:r w:rsidR="00880376" w:rsidRPr="004E19C5">
        <w:rPr>
          <w:shd w:val="clear" w:color="auto" w:fill="FFFFFF"/>
          <w:lang w:eastAsia="en-US"/>
        </w:rPr>
        <w:t xml:space="preserve"> </w:t>
      </w:r>
      <w:r w:rsidR="00880376" w:rsidRPr="004E19C5">
        <w:rPr>
          <w:lang w:eastAsia="en-US"/>
        </w:rPr>
        <w:t>defined as the probability of a child dying between birth and the age of five, expressed per 1000 live births</w:t>
      </w:r>
      <w:r w:rsidRPr="004E19C5">
        <w:rPr>
          <w:lang w:eastAsia="en-US"/>
        </w:rPr>
        <w:t xml:space="preserve">. </w:t>
      </w:r>
      <w:r w:rsidR="00F64AD9" w:rsidRPr="004E19C5">
        <w:rPr>
          <w:lang w:eastAsia="en-US"/>
        </w:rPr>
        <w:t xml:space="preserve">The Bank concludes that child mortality rates </w:t>
      </w:r>
      <w:r w:rsidR="009A7F2D" w:rsidRPr="004E19C5">
        <w:rPr>
          <w:lang w:eastAsia="en-US"/>
        </w:rPr>
        <w:t>‘</w:t>
      </w:r>
      <w:r w:rsidR="00F64AD9" w:rsidRPr="004E19C5">
        <w:rPr>
          <w:lang w:eastAsia="en-US"/>
        </w:rPr>
        <w:t>are among the indicators most frequently used to compare socioeconomic development across countries</w:t>
      </w:r>
      <w:r w:rsidR="009A7F2D" w:rsidRPr="004E19C5">
        <w:rPr>
          <w:lang w:eastAsia="en-US"/>
        </w:rPr>
        <w:t>’</w:t>
      </w:r>
      <w:r w:rsidR="00F64AD9" w:rsidRPr="004E19C5">
        <w:rPr>
          <w:lang w:eastAsia="en-US"/>
        </w:rPr>
        <w:t xml:space="preserve"> (WDI online).</w:t>
      </w:r>
    </w:p>
    <w:p w14:paraId="1FB3E338" w14:textId="78BEB2E6" w:rsidR="00E23BE1" w:rsidRPr="004E19C5" w:rsidRDefault="007D5022" w:rsidP="004E19C5">
      <w:pPr>
        <w:pStyle w:val="NoSpacing"/>
        <w:spacing w:line="360" w:lineRule="auto"/>
        <w:ind w:firstLine="720"/>
      </w:pPr>
      <w:r w:rsidRPr="004E19C5">
        <w:t>The independent variable</w:t>
      </w:r>
      <w:r w:rsidR="00924766" w:rsidRPr="004E19C5">
        <w:t>s</w:t>
      </w:r>
      <w:r w:rsidRPr="004E19C5">
        <w:t xml:space="preserve"> of interest </w:t>
      </w:r>
      <w:r w:rsidR="00924766" w:rsidRPr="004E19C5">
        <w:t>are</w:t>
      </w:r>
      <w:r w:rsidRPr="004E19C5">
        <w:t xml:space="preserve"> </w:t>
      </w:r>
      <w:r w:rsidR="0064515E" w:rsidRPr="004E19C5">
        <w:t xml:space="preserve">IFI </w:t>
      </w:r>
      <w:r w:rsidRPr="004E19C5">
        <w:t>lending</w:t>
      </w:r>
      <w:r w:rsidR="00DF0674" w:rsidRPr="004E19C5">
        <w:t xml:space="preserve"> and debt forgiveness</w:t>
      </w:r>
      <w:r w:rsidRPr="004E19C5">
        <w:t xml:space="preserve">. </w:t>
      </w:r>
      <w:r w:rsidR="008712A0" w:rsidRPr="004E19C5">
        <w:t>The Bank has two major lending agencies.</w:t>
      </w:r>
      <w:r w:rsidR="002336E3" w:rsidRPr="004E19C5">
        <w:rPr>
          <w:rStyle w:val="EndnoteReference"/>
        </w:rPr>
        <w:endnoteReference w:id="4"/>
      </w:r>
      <w:r w:rsidR="002336E3" w:rsidRPr="004E19C5">
        <w:t xml:space="preserve"> </w:t>
      </w:r>
      <w:r w:rsidR="008712A0" w:rsidRPr="004E19C5">
        <w:t xml:space="preserve">The International Bank for Reconstruction and Development </w:t>
      </w:r>
      <w:r w:rsidR="001F2E69" w:rsidRPr="004E19C5">
        <w:t xml:space="preserve">(IBRD) </w:t>
      </w:r>
      <w:r w:rsidR="00677770">
        <w:t xml:space="preserve">is a </w:t>
      </w:r>
      <w:r w:rsidR="008712A0" w:rsidRPr="004E19C5">
        <w:t xml:space="preserve">branch of the Bank </w:t>
      </w:r>
      <w:r w:rsidR="00677770">
        <w:t xml:space="preserve">that </w:t>
      </w:r>
      <w:r w:rsidR="008712A0" w:rsidRPr="004E19C5">
        <w:t xml:space="preserve">lends money </w:t>
      </w:r>
      <w:r w:rsidR="003A7910" w:rsidRPr="004E19C5">
        <w:t xml:space="preserve">at market rates </w:t>
      </w:r>
      <w:r w:rsidR="008712A0" w:rsidRPr="004E19C5">
        <w:t xml:space="preserve">to middle-income and creditworthy low-income countries </w:t>
      </w:r>
      <w:r w:rsidR="00B70705" w:rsidRPr="004E19C5">
        <w:t>displaying principles of good governance but have only sporadic access to private market capital.</w:t>
      </w:r>
      <w:r w:rsidR="003A7910" w:rsidRPr="004E19C5">
        <w:t xml:space="preserve"> The mandate of IBRD is to assist Member States </w:t>
      </w:r>
      <w:r w:rsidR="00677770">
        <w:t xml:space="preserve">to </w:t>
      </w:r>
      <w:r w:rsidR="003A7910" w:rsidRPr="004E19C5">
        <w:t xml:space="preserve">develop economically, </w:t>
      </w:r>
      <w:r w:rsidR="00677770">
        <w:t>thus</w:t>
      </w:r>
      <w:r w:rsidR="003A7910" w:rsidRPr="004E19C5">
        <w:t xml:space="preserve"> raising </w:t>
      </w:r>
      <w:r w:rsidR="009A7F2D" w:rsidRPr="004E19C5">
        <w:t>‘</w:t>
      </w:r>
      <w:r w:rsidR="003A7910" w:rsidRPr="004E19C5">
        <w:t>the standard of living and conditions of labor</w:t>
      </w:r>
      <w:r w:rsidR="009A7F2D" w:rsidRPr="004E19C5">
        <w:t>’</w:t>
      </w:r>
      <w:r w:rsidR="003A7910" w:rsidRPr="004E19C5">
        <w:t xml:space="preserve"> (Article 1). T</w:t>
      </w:r>
      <w:r w:rsidR="008712A0" w:rsidRPr="004E19C5">
        <w:t xml:space="preserve">he International Development Association </w:t>
      </w:r>
      <w:r w:rsidR="001F2E69" w:rsidRPr="004E19C5">
        <w:t xml:space="preserve">(IDA) </w:t>
      </w:r>
      <w:r w:rsidR="008712A0" w:rsidRPr="004E19C5">
        <w:t xml:space="preserve">provides loans (credits) and grants to the poorest countries </w:t>
      </w:r>
      <w:r w:rsidR="003A7910" w:rsidRPr="004E19C5">
        <w:t>at concessional rates.</w:t>
      </w:r>
      <w:r w:rsidR="003A7910" w:rsidRPr="004E19C5">
        <w:rPr>
          <w:rStyle w:val="EndnoteReference"/>
        </w:rPr>
        <w:endnoteReference w:id="5"/>
      </w:r>
      <w:r w:rsidR="003A7910" w:rsidRPr="004E19C5">
        <w:t xml:space="preserve"> </w:t>
      </w:r>
      <w:r w:rsidR="00AA4300" w:rsidRPr="004E19C5">
        <w:t xml:space="preserve">IDA’s Articles of Agreement list its purpose as </w:t>
      </w:r>
      <w:r w:rsidR="00192D5B">
        <w:t xml:space="preserve">to </w:t>
      </w:r>
      <w:r w:rsidR="009A7F2D" w:rsidRPr="004E19C5">
        <w:t>‘</w:t>
      </w:r>
      <w:r w:rsidR="00AA4300" w:rsidRPr="004E19C5">
        <w:t>promote economic development, increase productivity and thus raise standards of living in the less-developed areas of the world . . . thereby furthering the developmental objectives of the International Bank for Reconstruction and Development</w:t>
      </w:r>
      <w:r w:rsidR="009A7F2D" w:rsidRPr="004E19C5">
        <w:t>’</w:t>
      </w:r>
      <w:r w:rsidR="00AA4300" w:rsidRPr="004E19C5">
        <w:t xml:space="preserve"> (Article 1).</w:t>
      </w:r>
      <w:r w:rsidR="00B5379C" w:rsidRPr="004E19C5">
        <w:t xml:space="preserve"> </w:t>
      </w:r>
      <w:r w:rsidR="00E23BE1" w:rsidRPr="004E19C5">
        <w:t xml:space="preserve">IDA loans money for poverty reduction and human development projects such as primary education, health services, and water and sanitation facilities. </w:t>
      </w:r>
    </w:p>
    <w:p w14:paraId="5994F0CA" w14:textId="3378AF73" w:rsidR="00F35A1A" w:rsidRPr="004E19C5" w:rsidRDefault="007514E0" w:rsidP="004E19C5">
      <w:pPr>
        <w:spacing w:line="360" w:lineRule="auto"/>
        <w:ind w:firstLine="720"/>
        <w:rPr>
          <w:rFonts w:eastAsiaTheme="minorEastAsia"/>
          <w:lang w:eastAsia="en-US"/>
        </w:rPr>
      </w:pPr>
      <w:r w:rsidRPr="004E19C5">
        <w:rPr>
          <w:rFonts w:eastAsia="Times New Roman"/>
          <w:lang w:eastAsia="en-US"/>
        </w:rPr>
        <w:t>The IMF has a dizzying array of lending instruments, known as facilities</w:t>
      </w:r>
      <w:r w:rsidR="00192D5B">
        <w:rPr>
          <w:rFonts w:eastAsia="Times New Roman"/>
          <w:lang w:eastAsia="en-US"/>
        </w:rPr>
        <w:t>,</w:t>
      </w:r>
      <w:r w:rsidRPr="004E19C5">
        <w:rPr>
          <w:rFonts w:eastAsia="Times New Roman"/>
          <w:lang w:eastAsia="en-US"/>
        </w:rPr>
        <w:t xml:space="preserve"> that apply to different countries. Concessional lending to low-income countries is provided through the Extended Credit Facility (ECF), the Standby Credit Facility (SCF), and the Rapid Credit Facility (RCF). Non-concessional lending is available to all members through the Stand-By Arrangements (SBA), the Flexible Credit Line (FCL), the Precautionary and Liquidity Line (PLL), the Extended Fund Facility</w:t>
      </w:r>
      <w:r w:rsidR="00192D5B">
        <w:rPr>
          <w:rFonts w:eastAsia="Times New Roman"/>
          <w:lang w:eastAsia="en-US"/>
        </w:rPr>
        <w:t xml:space="preserve"> (EFF)</w:t>
      </w:r>
      <w:r w:rsidRPr="004E19C5">
        <w:rPr>
          <w:rFonts w:eastAsia="Times New Roman"/>
          <w:lang w:eastAsia="en-US"/>
        </w:rPr>
        <w:t>, and the Rapid Financing Instrument (RFI). The majority of non-concessional IMF lending is channeled through the SBA</w:t>
      </w:r>
      <w:r w:rsidR="00B51989" w:rsidRPr="004E19C5">
        <w:rPr>
          <w:rFonts w:eastAsia="Times New Roman"/>
          <w:lang w:eastAsia="en-US"/>
        </w:rPr>
        <w:t>,</w:t>
      </w:r>
      <w:r w:rsidRPr="004E19C5">
        <w:rPr>
          <w:rFonts w:eastAsia="Times New Roman"/>
          <w:lang w:eastAsia="en-US"/>
        </w:rPr>
        <w:t xml:space="preserve"> while the ECF is the Fund’s main tool for providing medium-term support to low-income countries (IMF website). </w:t>
      </w:r>
      <w:r w:rsidR="00F64AD9" w:rsidRPr="004E19C5">
        <w:t>IMF lending always carries structural adjustment requirements as a condition of the loan.</w:t>
      </w:r>
      <w:r w:rsidR="00CC501D" w:rsidRPr="004E19C5">
        <w:rPr>
          <w:rFonts w:eastAsia="Times New Roman"/>
          <w:lang w:eastAsia="en-US"/>
        </w:rPr>
        <w:t xml:space="preserve"> </w:t>
      </w:r>
      <w:r w:rsidR="00DB3CCD" w:rsidRPr="004E19C5">
        <w:rPr>
          <w:rFonts w:eastAsia="Times New Roman"/>
          <w:lang w:eastAsia="en-US"/>
        </w:rPr>
        <w:t xml:space="preserve">In this study, </w:t>
      </w:r>
      <w:r w:rsidR="00F35A1A" w:rsidRPr="004E19C5">
        <w:rPr>
          <w:rFonts w:eastAsiaTheme="minorEastAsia"/>
          <w:lang w:eastAsia="en-US"/>
        </w:rPr>
        <w:t xml:space="preserve">IMF lending </w:t>
      </w:r>
      <w:r w:rsidR="004C173C">
        <w:rPr>
          <w:rFonts w:eastAsiaTheme="minorEastAsia"/>
          <w:lang w:eastAsia="en-US"/>
        </w:rPr>
        <w:t>broken down as</w:t>
      </w:r>
      <w:r w:rsidR="00F35A1A" w:rsidRPr="004E19C5">
        <w:rPr>
          <w:rFonts w:eastAsiaTheme="minorEastAsia"/>
          <w:lang w:eastAsia="en-US"/>
        </w:rPr>
        <w:t xml:space="preserve"> concessionary programs and non</w:t>
      </w:r>
      <w:r w:rsidR="00B51989" w:rsidRPr="004E19C5">
        <w:rPr>
          <w:rFonts w:eastAsiaTheme="minorEastAsia"/>
          <w:lang w:eastAsia="en-US"/>
        </w:rPr>
        <w:t>-</w:t>
      </w:r>
      <w:r w:rsidR="00F35A1A" w:rsidRPr="004E19C5">
        <w:rPr>
          <w:rFonts w:eastAsiaTheme="minorEastAsia"/>
          <w:lang w:eastAsia="en-US"/>
        </w:rPr>
        <w:t xml:space="preserve">concessionary programs in order to allow the programs to have separate effects. </w:t>
      </w:r>
    </w:p>
    <w:p w14:paraId="55492F12" w14:textId="13EE7214" w:rsidR="0011129C" w:rsidRPr="004E19C5" w:rsidRDefault="0013153C" w:rsidP="004E19C5">
      <w:pPr>
        <w:spacing w:line="360" w:lineRule="auto"/>
        <w:ind w:firstLine="720"/>
      </w:pPr>
      <w:r w:rsidRPr="004E19C5">
        <w:t>Proponents of debt cancellation policies believe that poverty alleviation is hindered by demands on the economy and on government resources from a heavy debt</w:t>
      </w:r>
      <w:r w:rsidR="006D4A24" w:rsidRPr="004E19C5">
        <w:t xml:space="preserve"> burden</w:t>
      </w:r>
      <w:r w:rsidRPr="004E19C5">
        <w:t>. Social and health services, needed to increase the survival of children, are cut because the scarce resources of developing countries must be diverted to pay creditors first. The H</w:t>
      </w:r>
      <w:r w:rsidR="00D32429">
        <w:t xml:space="preserve">ighly </w:t>
      </w:r>
      <w:r w:rsidRPr="004E19C5">
        <w:t>I</w:t>
      </w:r>
      <w:r w:rsidR="00D32429">
        <w:t xml:space="preserve">ndebted </w:t>
      </w:r>
      <w:r w:rsidRPr="004E19C5">
        <w:t>P</w:t>
      </w:r>
      <w:r w:rsidR="00D32429">
        <w:t xml:space="preserve">oor </w:t>
      </w:r>
      <w:r w:rsidRPr="004E19C5">
        <w:t>C</w:t>
      </w:r>
      <w:r w:rsidR="00D32429">
        <w:t>ountry</w:t>
      </w:r>
      <w:r w:rsidRPr="004E19C5">
        <w:t xml:space="preserve"> Initiative </w:t>
      </w:r>
      <w:r w:rsidR="00D32429">
        <w:t xml:space="preserve">(HIPC) </w:t>
      </w:r>
      <w:r w:rsidRPr="004E19C5">
        <w:t xml:space="preserve">was launched in order to provide debt relief to the world’s poorest countries under the guidance of the IMF and Bank. </w:t>
      </w:r>
      <w:r w:rsidR="0011129C" w:rsidRPr="004E19C5">
        <w:t>After 2000</w:t>
      </w:r>
      <w:r w:rsidR="005A0DF1">
        <w:t>,</w:t>
      </w:r>
      <w:r w:rsidR="0011129C" w:rsidRPr="004E19C5">
        <w:t xml:space="preserve"> the Bank and the IMF required developing states to develop Povert</w:t>
      </w:r>
      <w:r w:rsidR="00AB0F18">
        <w:t>y Reduction Strategy Papers as</w:t>
      </w:r>
      <w:r w:rsidR="0011129C" w:rsidRPr="004E19C5">
        <w:t xml:space="preserve"> pre-requisite</w:t>
      </w:r>
      <w:r w:rsidR="00AB0F18">
        <w:t>s</w:t>
      </w:r>
      <w:r w:rsidR="0011129C" w:rsidRPr="004E19C5">
        <w:t xml:space="preserve"> for debt forgiveness. The primary purpose of debt forgiveness was to re-direct resources that had previously gone to servicing a country’s debt, and to use the freed-up funds for specific poverty reduction programs primarily aimed at social services</w:t>
      </w:r>
      <w:r w:rsidR="00AB0F18">
        <w:t>,</w:t>
      </w:r>
      <w:r w:rsidR="0011129C" w:rsidRPr="004E19C5">
        <w:t xml:space="preserve"> such as health care and education (World Bank</w:t>
      </w:r>
      <w:r w:rsidR="008144E2" w:rsidRPr="004E19C5">
        <w:t>,</w:t>
      </w:r>
      <w:r w:rsidR="0011129C" w:rsidRPr="004E19C5">
        <w:t xml:space="preserve"> 2005</w:t>
      </w:r>
      <w:r w:rsidR="008144E2" w:rsidRPr="004E19C5">
        <w:t>,</w:t>
      </w:r>
      <w:r w:rsidR="0011129C" w:rsidRPr="004E19C5">
        <w:t xml:space="preserve"> xii). </w:t>
      </w:r>
      <w:r w:rsidR="00AB0F18" w:rsidRPr="00AB0F18">
        <w:t>Consequently</w:t>
      </w:r>
      <w:r w:rsidR="00AB0F18">
        <w:t>,</w:t>
      </w:r>
      <w:r w:rsidR="0011129C" w:rsidRPr="004E19C5">
        <w:t xml:space="preserve"> debt reduction ought to be associated with a decrease in child mortality rates.</w:t>
      </w:r>
    </w:p>
    <w:p w14:paraId="5A506671" w14:textId="58F5CA31" w:rsidR="008712A0" w:rsidRPr="004E19C5" w:rsidRDefault="00F64AD9" w:rsidP="004E19C5">
      <w:pPr>
        <w:spacing w:line="360" w:lineRule="auto"/>
        <w:ind w:firstLine="720"/>
      </w:pPr>
      <w:r w:rsidRPr="004E19C5">
        <w:t xml:space="preserve">In order to determine the direction of causation, the IFI variables </w:t>
      </w:r>
      <w:r w:rsidR="0011129C" w:rsidRPr="004E19C5">
        <w:t xml:space="preserve">and debt forgiveness </w:t>
      </w:r>
      <w:r w:rsidRPr="004E19C5">
        <w:t>are lagged three and five time period</w:t>
      </w:r>
      <w:r w:rsidR="00255220" w:rsidRPr="004E19C5">
        <w:t>s</w:t>
      </w:r>
      <w:r w:rsidRPr="004E19C5">
        <w:t xml:space="preserve"> so that the effects of these variables on the dependent variables can be tested.</w:t>
      </w:r>
      <w:r w:rsidR="007E335D" w:rsidRPr="004E19C5">
        <w:t xml:space="preserve"> </w:t>
      </w:r>
      <w:r w:rsidR="00255220" w:rsidRPr="004E19C5">
        <w:t xml:space="preserve">It is unlikely that IFI loans or debt relief would have an immediate effect on child survival rates. </w:t>
      </w:r>
      <w:r w:rsidR="002B5F00" w:rsidRPr="004E19C5">
        <w:rPr>
          <w:rFonts w:eastAsia="Times New Roman"/>
          <w:lang w:eastAsia="en-US"/>
        </w:rPr>
        <w:t xml:space="preserve">Also included are </w:t>
      </w:r>
      <w:r w:rsidR="00334ACC" w:rsidRPr="004E19C5">
        <w:rPr>
          <w:rFonts w:eastAsia="Times New Roman"/>
          <w:lang w:eastAsia="en-US"/>
        </w:rPr>
        <w:t>f</w:t>
      </w:r>
      <w:r w:rsidR="00DF0674" w:rsidRPr="004E19C5">
        <w:rPr>
          <w:rFonts w:eastAsia="Times New Roman"/>
          <w:lang w:eastAsia="en-US"/>
        </w:rPr>
        <w:t>our</w:t>
      </w:r>
      <w:r w:rsidR="002B5F00" w:rsidRPr="004E19C5">
        <w:rPr>
          <w:rFonts w:eastAsia="Times New Roman"/>
          <w:lang w:eastAsia="en-US"/>
        </w:rPr>
        <w:t xml:space="preserve"> </w:t>
      </w:r>
      <w:r w:rsidR="0000443B" w:rsidRPr="004E19C5">
        <w:rPr>
          <w:rFonts w:eastAsia="Times New Roman"/>
          <w:lang w:eastAsia="en-US"/>
        </w:rPr>
        <w:t>control variables</w:t>
      </w:r>
      <w:r w:rsidR="00B51989" w:rsidRPr="004E19C5">
        <w:rPr>
          <w:rFonts w:eastAsia="Times New Roman"/>
          <w:lang w:eastAsia="en-US"/>
        </w:rPr>
        <w:t>—economic development, health expenditures, military expenditures, and level of democracy--</w:t>
      </w:r>
      <w:r w:rsidR="002B5F00" w:rsidRPr="004E19C5">
        <w:rPr>
          <w:rFonts w:eastAsia="Times New Roman"/>
          <w:lang w:eastAsia="en-US"/>
        </w:rPr>
        <w:t>commonly found in recent cross-national research on child mortality</w:t>
      </w:r>
      <w:r w:rsidR="00EB5569" w:rsidRPr="004E19C5">
        <w:rPr>
          <w:rFonts w:eastAsia="Times New Roman"/>
          <w:lang w:eastAsia="en-US"/>
        </w:rPr>
        <w:t>.</w:t>
      </w:r>
      <w:r w:rsidR="002B5F00" w:rsidRPr="004E19C5">
        <w:rPr>
          <w:rFonts w:eastAsia="Times New Roman"/>
          <w:lang w:eastAsia="en-US"/>
        </w:rPr>
        <w:t xml:space="preserve"> </w:t>
      </w:r>
    </w:p>
    <w:p w14:paraId="4A79DE5B" w14:textId="5E076485" w:rsidR="006F6001" w:rsidRPr="004E19C5" w:rsidRDefault="002F6F14" w:rsidP="004E19C5">
      <w:pPr>
        <w:spacing w:line="360" w:lineRule="auto"/>
        <w:ind w:firstLine="720"/>
      </w:pPr>
      <w:r w:rsidRPr="004E19C5">
        <w:rPr>
          <w:rFonts w:eastAsia="Times New Roman"/>
          <w:lang w:eastAsia="en-US"/>
        </w:rPr>
        <w:t>Prior research consistently shows a negative relationship between child mortality rates and level</w:t>
      </w:r>
      <w:r w:rsidR="0002217F">
        <w:rPr>
          <w:rFonts w:eastAsia="Times New Roman"/>
          <w:lang w:eastAsia="en-US"/>
        </w:rPr>
        <w:t>s</w:t>
      </w:r>
      <w:r w:rsidRPr="004E19C5">
        <w:rPr>
          <w:rFonts w:eastAsia="Times New Roman"/>
          <w:lang w:eastAsia="en-US"/>
        </w:rPr>
        <w:t xml:space="preserve"> of economic development (Frey and Field</w:t>
      </w:r>
      <w:r w:rsidR="008144E2" w:rsidRPr="004E19C5">
        <w:rPr>
          <w:rFonts w:eastAsia="Times New Roman"/>
          <w:lang w:eastAsia="en-US"/>
        </w:rPr>
        <w:t>,</w:t>
      </w:r>
      <w:r w:rsidRPr="004E19C5">
        <w:rPr>
          <w:rFonts w:eastAsia="Times New Roman"/>
          <w:lang w:eastAsia="en-US"/>
        </w:rPr>
        <w:t xml:space="preserve"> 2</w:t>
      </w:r>
      <w:r w:rsidR="00EB5569" w:rsidRPr="004E19C5">
        <w:rPr>
          <w:rFonts w:eastAsia="Times New Roman"/>
          <w:lang w:eastAsia="en-US"/>
        </w:rPr>
        <w:t>000; Jorgenson and Rice</w:t>
      </w:r>
      <w:r w:rsidR="008144E2" w:rsidRPr="004E19C5">
        <w:rPr>
          <w:rFonts w:eastAsia="Times New Roman"/>
          <w:lang w:eastAsia="en-US"/>
        </w:rPr>
        <w:t>,</w:t>
      </w:r>
      <w:r w:rsidR="00EB5569" w:rsidRPr="004E19C5">
        <w:rPr>
          <w:rFonts w:eastAsia="Times New Roman"/>
          <w:lang w:eastAsia="en-US"/>
        </w:rPr>
        <w:t xml:space="preserve"> 2010).</w:t>
      </w:r>
      <w:r w:rsidR="0049134B" w:rsidRPr="004E19C5">
        <w:rPr>
          <w:rStyle w:val="EndnoteReference"/>
          <w:rFonts w:eastAsia="Times New Roman"/>
          <w:lang w:eastAsia="en-US"/>
        </w:rPr>
        <w:endnoteReference w:id="6"/>
      </w:r>
      <w:r w:rsidR="00EB5569" w:rsidRPr="004E19C5">
        <w:rPr>
          <w:rFonts w:eastAsia="Times New Roman"/>
          <w:lang w:eastAsia="en-US"/>
        </w:rPr>
        <w:t xml:space="preserve"> </w:t>
      </w:r>
      <w:r w:rsidR="0000192B" w:rsidRPr="004E19C5">
        <w:rPr>
          <w:rFonts w:eastAsiaTheme="minorEastAsia"/>
          <w:lang w:eastAsia="en-US"/>
        </w:rPr>
        <w:t xml:space="preserve">Countries that have higher levels of economic development, as measured by GDP per capital, enjoy higher standards of living, better medical care, improved water and sanitation, and lower fertility rates. Higher income levels also </w:t>
      </w:r>
      <w:r w:rsidR="0002217F">
        <w:rPr>
          <w:rFonts w:eastAsiaTheme="minorEastAsia"/>
          <w:lang w:eastAsia="en-US"/>
        </w:rPr>
        <w:t>enables</w:t>
      </w:r>
      <w:r w:rsidR="0000192B" w:rsidRPr="004E19C5">
        <w:rPr>
          <w:rFonts w:eastAsiaTheme="minorEastAsia"/>
          <w:lang w:eastAsia="en-US"/>
        </w:rPr>
        <w:t xml:space="preserve"> the fulfillment of other basic needs such as food and housing (Fay </w:t>
      </w:r>
      <w:r w:rsidR="00800267" w:rsidRPr="004E19C5">
        <w:rPr>
          <w:rFonts w:eastAsiaTheme="minorEastAsia"/>
          <w:lang w:eastAsia="en-US"/>
        </w:rPr>
        <w:t>et al.</w:t>
      </w:r>
      <w:r w:rsidR="008144E2" w:rsidRPr="004E19C5">
        <w:rPr>
          <w:rFonts w:eastAsiaTheme="minorEastAsia"/>
          <w:lang w:eastAsia="en-US"/>
        </w:rPr>
        <w:t>,</w:t>
      </w:r>
      <w:r w:rsidR="0000192B" w:rsidRPr="004E19C5">
        <w:rPr>
          <w:rFonts w:eastAsiaTheme="minorEastAsia"/>
          <w:lang w:eastAsia="en-US"/>
        </w:rPr>
        <w:t xml:space="preserve"> 2005</w:t>
      </w:r>
      <w:r w:rsidR="008144E2" w:rsidRPr="004E19C5">
        <w:rPr>
          <w:rFonts w:eastAsiaTheme="minorEastAsia"/>
          <w:lang w:eastAsia="en-US"/>
        </w:rPr>
        <w:t>;</w:t>
      </w:r>
      <w:r w:rsidR="0000192B" w:rsidRPr="004E19C5">
        <w:rPr>
          <w:rFonts w:eastAsiaTheme="minorEastAsia"/>
          <w:lang w:eastAsia="en-US"/>
        </w:rPr>
        <w:t xml:space="preserve"> Houweling </w:t>
      </w:r>
      <w:r w:rsidR="00800267" w:rsidRPr="004E19C5">
        <w:rPr>
          <w:rFonts w:eastAsiaTheme="minorEastAsia"/>
          <w:lang w:eastAsia="en-US"/>
        </w:rPr>
        <w:t>et al.</w:t>
      </w:r>
      <w:r w:rsidR="008144E2" w:rsidRPr="004E19C5">
        <w:rPr>
          <w:rFonts w:eastAsiaTheme="minorEastAsia"/>
          <w:lang w:eastAsia="en-US"/>
        </w:rPr>
        <w:t>,</w:t>
      </w:r>
      <w:r w:rsidR="0000192B" w:rsidRPr="004E19C5">
        <w:rPr>
          <w:rFonts w:eastAsiaTheme="minorEastAsia"/>
          <w:lang w:eastAsia="en-US"/>
        </w:rPr>
        <w:t xml:space="preserve"> 2005</w:t>
      </w:r>
      <w:r w:rsidR="008144E2" w:rsidRPr="004E19C5">
        <w:rPr>
          <w:rFonts w:eastAsiaTheme="minorEastAsia"/>
          <w:lang w:eastAsia="en-US"/>
        </w:rPr>
        <w:t>;</w:t>
      </w:r>
      <w:r w:rsidR="0000192B" w:rsidRPr="004E19C5">
        <w:rPr>
          <w:rFonts w:eastAsiaTheme="minorEastAsia"/>
          <w:lang w:eastAsia="en-US"/>
        </w:rPr>
        <w:t xml:space="preserve"> McGuire 2006). </w:t>
      </w:r>
    </w:p>
    <w:p w14:paraId="1537AD2C" w14:textId="4AFB084E" w:rsidR="002622FB" w:rsidRPr="004E19C5" w:rsidRDefault="00A114A2" w:rsidP="004E19C5">
      <w:pPr>
        <w:spacing w:line="360" w:lineRule="auto"/>
        <w:ind w:firstLine="720"/>
        <w:rPr>
          <w:rFonts w:eastAsia="Times New Roman"/>
          <w:lang w:eastAsia="en-US"/>
        </w:rPr>
      </w:pPr>
      <w:r w:rsidRPr="004E19C5">
        <w:t xml:space="preserve">Democracy helps to make the government accountable and responsive to the needs of citizens since leaders must court the vote of a large segment of the population to win elections. Voters can influence governmental leaders, which may translate into better </w:t>
      </w:r>
      <w:r w:rsidR="00DE47EB" w:rsidRPr="004E19C5">
        <w:t xml:space="preserve">health programs and stronger social safety nets. </w:t>
      </w:r>
      <w:r w:rsidR="001E064B" w:rsidRPr="004E19C5">
        <w:rPr>
          <w:rFonts w:eastAsia="Times New Roman"/>
          <w:lang w:eastAsia="en-US"/>
        </w:rPr>
        <w:t>When leaders must win contested elections to gain or remain in power</w:t>
      </w:r>
      <w:r w:rsidR="00B913B9">
        <w:rPr>
          <w:rFonts w:eastAsia="Times New Roman"/>
          <w:lang w:eastAsia="en-US"/>
        </w:rPr>
        <w:t>,</w:t>
      </w:r>
      <w:r w:rsidR="001E064B" w:rsidRPr="004E19C5">
        <w:rPr>
          <w:rFonts w:eastAsia="Times New Roman"/>
          <w:lang w:eastAsia="en-US"/>
        </w:rPr>
        <w:t xml:space="preserve"> they provide public goods for the general welfare.</w:t>
      </w:r>
      <w:r w:rsidR="00DE47EB" w:rsidRPr="004E19C5">
        <w:rPr>
          <w:rFonts w:eastAsia="Times New Roman"/>
          <w:lang w:eastAsia="en-US"/>
        </w:rPr>
        <w:t xml:space="preserve"> </w:t>
      </w:r>
      <w:r w:rsidR="002622FB" w:rsidRPr="004E19C5">
        <w:rPr>
          <w:rFonts w:eastAsia="Times New Roman"/>
          <w:lang w:eastAsia="en-US"/>
        </w:rPr>
        <w:t>Kudamatsu (2007), using a subsample of 28 sub-Saharan Africa</w:t>
      </w:r>
      <w:r w:rsidR="00B913B9">
        <w:rPr>
          <w:rFonts w:eastAsia="Times New Roman"/>
          <w:lang w:eastAsia="en-US"/>
        </w:rPr>
        <w:t>n</w:t>
      </w:r>
      <w:r w:rsidR="002622FB" w:rsidRPr="004E19C5">
        <w:rPr>
          <w:rFonts w:eastAsia="Times New Roman"/>
          <w:lang w:eastAsia="en-US"/>
        </w:rPr>
        <w:t xml:space="preserve"> countries, investigated whether democratization reduced infant mortality. He found that </w:t>
      </w:r>
      <w:r w:rsidR="006F49CE" w:rsidRPr="004E19C5">
        <w:rPr>
          <w:rFonts w:eastAsia="Times New Roman"/>
          <w:lang w:eastAsia="en-US"/>
        </w:rPr>
        <w:t xml:space="preserve">greater levels of democracy reduced infant mortality by </w:t>
      </w:r>
      <w:r w:rsidR="002622FB" w:rsidRPr="004E19C5">
        <w:rPr>
          <w:rFonts w:eastAsia="Times New Roman"/>
          <w:lang w:eastAsia="en-US"/>
        </w:rPr>
        <w:t>1.8 percentage points. Equally important is the fact that the reduction in mortality was higher for babies born to uneducated mothers from marginalized ethnicities.</w:t>
      </w:r>
    </w:p>
    <w:p w14:paraId="38713E64" w14:textId="3CC8EE73" w:rsidR="005B48FC" w:rsidRPr="004E19C5" w:rsidRDefault="00F9161C" w:rsidP="004E19C5">
      <w:pPr>
        <w:spacing w:line="360" w:lineRule="auto"/>
        <w:ind w:firstLine="720"/>
      </w:pPr>
      <w:r w:rsidRPr="004E19C5">
        <w:t xml:space="preserve">Because private health care will not provide adequate access to life-saving medical assistance to poor children, government spending is required for the reduction of child mortality. </w:t>
      </w:r>
      <w:r w:rsidR="00FD6CD4" w:rsidRPr="004E19C5">
        <w:t xml:space="preserve">Bokhari </w:t>
      </w:r>
      <w:r w:rsidR="00800267" w:rsidRPr="004E19C5">
        <w:t>et al.</w:t>
      </w:r>
      <w:r w:rsidR="00FD6CD4" w:rsidRPr="004E19C5">
        <w:t xml:space="preserve"> (2007) found that increases in domestic health expenditures are responsible for a decrease in child mortality rates. They determined that a 10% increase in health expenditures results in a 2.5 to 4% decrease in child death rates.</w:t>
      </w:r>
      <w:r w:rsidR="0000192B" w:rsidRPr="004E19C5">
        <w:rPr>
          <w:rFonts w:eastAsiaTheme="minorEastAsia"/>
          <w:lang w:eastAsia="en-US"/>
        </w:rPr>
        <w:t xml:space="preserve"> Higher levels of government expenditures on health </w:t>
      </w:r>
      <w:r w:rsidR="0005547B" w:rsidRPr="004E19C5">
        <w:rPr>
          <w:rFonts w:eastAsiaTheme="minorEastAsia"/>
          <w:lang w:eastAsia="en-US"/>
        </w:rPr>
        <w:t>translate</w:t>
      </w:r>
      <w:r w:rsidR="0000192B" w:rsidRPr="004E19C5">
        <w:rPr>
          <w:rFonts w:eastAsiaTheme="minorEastAsia"/>
          <w:lang w:eastAsia="en-US"/>
        </w:rPr>
        <w:t xml:space="preserve"> </w:t>
      </w:r>
      <w:r w:rsidR="007F6743">
        <w:rPr>
          <w:rFonts w:eastAsiaTheme="minorEastAsia"/>
          <w:lang w:eastAsia="en-US"/>
        </w:rPr>
        <w:t>in</w:t>
      </w:r>
      <w:r w:rsidR="0000192B" w:rsidRPr="004E19C5">
        <w:rPr>
          <w:rFonts w:eastAsiaTheme="minorEastAsia"/>
          <w:lang w:eastAsia="en-US"/>
        </w:rPr>
        <w:t xml:space="preserve">to greater public access to health care, family planning, nutrition counseling, prenatal care, and births attended by trained personnel (Houweling </w:t>
      </w:r>
      <w:r w:rsidR="00800267" w:rsidRPr="004E19C5">
        <w:rPr>
          <w:rFonts w:eastAsiaTheme="minorEastAsia"/>
          <w:lang w:eastAsia="en-US"/>
        </w:rPr>
        <w:t>et al.</w:t>
      </w:r>
      <w:r w:rsidR="008144E2" w:rsidRPr="004E19C5">
        <w:rPr>
          <w:rFonts w:eastAsiaTheme="minorEastAsia"/>
          <w:lang w:eastAsia="en-US"/>
        </w:rPr>
        <w:t>,</w:t>
      </w:r>
      <w:r w:rsidR="0000192B" w:rsidRPr="004E19C5">
        <w:rPr>
          <w:rFonts w:eastAsiaTheme="minorEastAsia"/>
          <w:lang w:eastAsia="en-US"/>
        </w:rPr>
        <w:t xml:space="preserve"> 2005).</w:t>
      </w:r>
      <w:r w:rsidR="005B48FC" w:rsidRPr="004E19C5">
        <w:rPr>
          <w:rFonts w:eastAsia="Times New Roman"/>
          <w:lang w:eastAsia="en-US"/>
        </w:rPr>
        <w:t xml:space="preserve"> </w:t>
      </w:r>
    </w:p>
    <w:p w14:paraId="51F6B88E" w14:textId="16549442" w:rsidR="00F9161C" w:rsidRPr="004E19C5" w:rsidRDefault="004129EE" w:rsidP="004E19C5">
      <w:pPr>
        <w:spacing w:line="360" w:lineRule="auto"/>
        <w:ind w:firstLine="720"/>
      </w:pPr>
      <w:r w:rsidRPr="004E19C5">
        <w:t xml:space="preserve">Military expenditures can crowd out public spending </w:t>
      </w:r>
      <w:r w:rsidR="00E55F4D" w:rsidRPr="004E19C5">
        <w:t xml:space="preserve">for basic </w:t>
      </w:r>
      <w:r w:rsidRPr="004E19C5">
        <w:t>social services</w:t>
      </w:r>
      <w:r w:rsidR="007F6743">
        <w:t xml:space="preserve"> too</w:t>
      </w:r>
      <w:r w:rsidR="00CF4DFD" w:rsidRPr="004E19C5">
        <w:t xml:space="preserve"> (Mehrotra and Delamonic</w:t>
      </w:r>
      <w:r w:rsidR="008144E2" w:rsidRPr="004E19C5">
        <w:t>,</w:t>
      </w:r>
      <w:r w:rsidR="00CF4DFD" w:rsidRPr="004E19C5">
        <w:t xml:space="preserve"> 2002)</w:t>
      </w:r>
      <w:r w:rsidRPr="004E19C5">
        <w:t xml:space="preserve">. </w:t>
      </w:r>
      <w:r w:rsidR="00F9161C" w:rsidRPr="004E19C5">
        <w:t>Regimes that are engaged in extravagant defense spending divert government resources away from the provision of social services and toward the acquisition of expensive, and often repressive, military armaments. In poor states</w:t>
      </w:r>
      <w:r w:rsidR="007F6743">
        <w:t>,</w:t>
      </w:r>
      <w:r w:rsidR="00F9161C" w:rsidRPr="004E19C5">
        <w:t xml:space="preserve"> the result can be the denial of basic health, nutrition</w:t>
      </w:r>
      <w:r w:rsidR="007F6743">
        <w:t>,</w:t>
      </w:r>
      <w:r w:rsidR="00F9161C" w:rsidRPr="004E19C5">
        <w:t xml:space="preserve"> and educational services to the poor. The amount of resources committed to defense indicates the priority the state places on the military over the needs of the population.</w:t>
      </w:r>
    </w:p>
    <w:p w14:paraId="04950613" w14:textId="77777777" w:rsidR="002A2794" w:rsidRPr="004E19C5" w:rsidRDefault="002A2794" w:rsidP="004E19C5">
      <w:pPr>
        <w:spacing w:line="360" w:lineRule="auto"/>
      </w:pPr>
    </w:p>
    <w:p w14:paraId="67B30C34" w14:textId="093D2A26" w:rsidR="00595569" w:rsidRPr="004E19C5" w:rsidRDefault="0013743E" w:rsidP="004E19C5">
      <w:pPr>
        <w:spacing w:line="360" w:lineRule="auto"/>
      </w:pPr>
      <w:r w:rsidRPr="004E19C5">
        <w:t>FINDINGS</w:t>
      </w:r>
    </w:p>
    <w:p w14:paraId="68BE2DAA" w14:textId="31DC11EC" w:rsidR="00153E7C" w:rsidRPr="004E19C5" w:rsidRDefault="00153E7C" w:rsidP="004E19C5">
      <w:pPr>
        <w:pStyle w:val="NoSpacing"/>
        <w:spacing w:line="360" w:lineRule="auto"/>
      </w:pPr>
      <w:r w:rsidRPr="004E19C5">
        <w:t xml:space="preserve">Fixed effects regression is used to explore the impact of IFI lending on child mortality. The results are presented in Table 1. </w:t>
      </w:r>
      <w:r w:rsidR="002539D0" w:rsidRPr="004E19C5">
        <w:t>First, t</w:t>
      </w:r>
      <w:r w:rsidR="000067FA" w:rsidRPr="004E19C5">
        <w:t>he control variables behav</w:t>
      </w:r>
      <w:r w:rsidR="001F64F6" w:rsidRPr="004E19C5">
        <w:t>ed</w:t>
      </w:r>
      <w:r w:rsidR="000067FA" w:rsidRPr="004E19C5">
        <w:t xml:space="preserve"> as predicted</w:t>
      </w:r>
      <w:r w:rsidR="002539D0" w:rsidRPr="004E19C5">
        <w:t xml:space="preserve"> and support previous research on their effects</w:t>
      </w:r>
      <w:r w:rsidR="000067FA" w:rsidRPr="004E19C5">
        <w:t>.</w:t>
      </w:r>
    </w:p>
    <w:p w14:paraId="1D53293B" w14:textId="77777777" w:rsidR="0001799D" w:rsidRPr="004E19C5" w:rsidRDefault="0001799D" w:rsidP="004E19C5">
      <w:pPr>
        <w:pStyle w:val="NoSpacing"/>
        <w:spacing w:line="360" w:lineRule="auto"/>
        <w:rPr>
          <w:rFonts w:eastAsiaTheme="minorEastAsia"/>
          <w:lang w:eastAsia="en-US"/>
        </w:rPr>
      </w:pPr>
      <w:r w:rsidRPr="004E19C5">
        <w:rPr>
          <w:rFonts w:eastAsiaTheme="minorEastAsia"/>
          <w:lang w:eastAsia="en-US"/>
        </w:rPr>
        <w:t>&lt;INSERT TABLE 1 ABOUT HERE&gt;</w:t>
      </w:r>
    </w:p>
    <w:p w14:paraId="37A07198" w14:textId="1A61898A" w:rsidR="00A40CF4" w:rsidRPr="004E19C5" w:rsidRDefault="00B7453E" w:rsidP="004E19C5">
      <w:pPr>
        <w:pStyle w:val="NoSpacing"/>
        <w:spacing w:line="360" w:lineRule="auto"/>
        <w:rPr>
          <w:rFonts w:eastAsiaTheme="minorEastAsia"/>
          <w:lang w:eastAsia="en-US"/>
        </w:rPr>
      </w:pPr>
      <w:r w:rsidRPr="004E19C5">
        <w:t xml:space="preserve">The fixed effects estimates yield a number of interesting results. </w:t>
      </w:r>
      <w:r w:rsidR="00A40CF4" w:rsidRPr="004E19C5">
        <w:rPr>
          <w:lang w:eastAsia="en-US"/>
        </w:rPr>
        <w:t>The overall goodness of fit of the model is satisfactory, as nearly 70% of the variation in child mortality is explained by the model</w:t>
      </w:r>
      <w:r w:rsidR="004031B6" w:rsidRPr="004E19C5">
        <w:rPr>
          <w:lang w:eastAsia="en-US"/>
        </w:rPr>
        <w:t>s</w:t>
      </w:r>
      <w:r w:rsidR="00A40CF4" w:rsidRPr="004E19C5">
        <w:rPr>
          <w:lang w:eastAsia="en-US"/>
        </w:rPr>
        <w:t>.</w:t>
      </w:r>
    </w:p>
    <w:p w14:paraId="130CCCBD" w14:textId="36405695" w:rsidR="00EF5114" w:rsidRPr="004E19C5" w:rsidRDefault="002539D0" w:rsidP="004E19C5">
      <w:pPr>
        <w:spacing w:line="360" w:lineRule="auto"/>
        <w:ind w:firstLine="720"/>
        <w:rPr>
          <w:rFonts w:eastAsia="Times New Roman"/>
          <w:lang w:eastAsia="en-US"/>
        </w:rPr>
      </w:pPr>
      <w:r w:rsidRPr="004E19C5">
        <w:rPr>
          <w:rFonts w:eastAsia="Times New Roman"/>
          <w:lang w:eastAsia="en-US"/>
        </w:rPr>
        <w:t>Bank</w:t>
      </w:r>
      <w:r w:rsidR="00EF5114" w:rsidRPr="004E19C5">
        <w:rPr>
          <w:rFonts w:eastAsia="Times New Roman"/>
          <w:lang w:eastAsia="en-US"/>
        </w:rPr>
        <w:t xml:space="preserve"> lending is statistically significant in reduc</w:t>
      </w:r>
      <w:r w:rsidR="003E577A" w:rsidRPr="004E19C5">
        <w:rPr>
          <w:rFonts w:eastAsia="Times New Roman"/>
          <w:lang w:eastAsia="en-US"/>
        </w:rPr>
        <w:t xml:space="preserve">ing child mortality in model 1. </w:t>
      </w:r>
      <w:r w:rsidRPr="004E19C5">
        <w:rPr>
          <w:rFonts w:eastAsia="Times New Roman"/>
          <w:lang w:eastAsia="en-US"/>
        </w:rPr>
        <w:t>Increased Bank lending (t-3) reduces child mortality</w:t>
      </w:r>
      <w:r w:rsidR="00EB1D8A" w:rsidRPr="004E19C5">
        <w:rPr>
          <w:rFonts w:eastAsia="Times New Roman"/>
          <w:lang w:eastAsia="en-US"/>
        </w:rPr>
        <w:t>.</w:t>
      </w:r>
      <w:r w:rsidRPr="004E19C5">
        <w:rPr>
          <w:rFonts w:eastAsia="Times New Roman"/>
          <w:lang w:eastAsia="en-US"/>
        </w:rPr>
        <w:t xml:space="preserve"> </w:t>
      </w:r>
      <w:r w:rsidR="00BF1A7F" w:rsidRPr="004E19C5">
        <w:rPr>
          <w:rFonts w:eastAsia="Times New Roman"/>
          <w:lang w:eastAsia="en-US"/>
        </w:rPr>
        <w:t>However, m</w:t>
      </w:r>
      <w:r w:rsidR="003E577A" w:rsidRPr="004E19C5">
        <w:rPr>
          <w:rFonts w:eastAsia="Times New Roman"/>
          <w:lang w:eastAsia="en-US"/>
        </w:rPr>
        <w:t xml:space="preserve">odel 2 differentiates between IBRD and IDA lending because IDA is concessional with a specific focus on </w:t>
      </w:r>
      <w:r w:rsidR="003E577A" w:rsidRPr="004E19C5">
        <w:t xml:space="preserve">poverty reduction and human development. </w:t>
      </w:r>
      <w:r w:rsidR="003E577A" w:rsidRPr="004E19C5">
        <w:rPr>
          <w:rFonts w:eastAsiaTheme="minorEastAsia"/>
          <w:lang w:eastAsia="en-US"/>
        </w:rPr>
        <w:t>As a non self-sustaining agency</w:t>
      </w:r>
      <w:r w:rsidR="007F6743">
        <w:rPr>
          <w:rFonts w:eastAsiaTheme="minorEastAsia"/>
          <w:lang w:eastAsia="en-US"/>
        </w:rPr>
        <w:t>,</w:t>
      </w:r>
      <w:r w:rsidR="003E577A" w:rsidRPr="004E19C5">
        <w:rPr>
          <w:rFonts w:eastAsiaTheme="minorEastAsia"/>
          <w:lang w:eastAsia="en-US"/>
        </w:rPr>
        <w:t xml:space="preserve"> the IDA is particularly open to fulfilling the human rights obligations of member states. IDA funds must be replenished by state contributions every three years. This makes the IDA </w:t>
      </w:r>
      <w:r w:rsidR="009A7F2D" w:rsidRPr="004E19C5">
        <w:rPr>
          <w:rFonts w:eastAsiaTheme="minorEastAsia"/>
          <w:lang w:eastAsia="en-US"/>
        </w:rPr>
        <w:t>‘</w:t>
      </w:r>
      <w:r w:rsidR="003E577A" w:rsidRPr="004E19C5">
        <w:rPr>
          <w:rFonts w:eastAsiaTheme="minorEastAsia"/>
          <w:lang w:eastAsia="en-US"/>
        </w:rPr>
        <w:t>particularly exposed to shifts in the political climate</w:t>
      </w:r>
      <w:r w:rsidR="009A7F2D" w:rsidRPr="004E19C5">
        <w:rPr>
          <w:rFonts w:eastAsiaTheme="minorEastAsia"/>
          <w:lang w:eastAsia="en-US"/>
        </w:rPr>
        <w:t>’</w:t>
      </w:r>
      <w:r w:rsidR="00EB1D8A" w:rsidRPr="004E19C5">
        <w:rPr>
          <w:rFonts w:eastAsiaTheme="minorEastAsia"/>
          <w:lang w:eastAsia="en-US"/>
        </w:rPr>
        <w:t xml:space="preserve"> and responsive </w:t>
      </w:r>
      <w:r w:rsidR="00B44F22" w:rsidRPr="004E19C5">
        <w:rPr>
          <w:rFonts w:eastAsiaTheme="minorEastAsia"/>
          <w:lang w:eastAsia="en-US"/>
        </w:rPr>
        <w:t xml:space="preserve">to reforms explicitly linking replenishment to poverty reduction and human rights improvements </w:t>
      </w:r>
      <w:r w:rsidR="003E577A" w:rsidRPr="004E19C5">
        <w:rPr>
          <w:rFonts w:eastAsiaTheme="minorEastAsia"/>
          <w:lang w:eastAsia="en-US"/>
        </w:rPr>
        <w:t xml:space="preserve">(Darrow 2006: 12). </w:t>
      </w:r>
      <w:r w:rsidR="00B4214C" w:rsidRPr="004E19C5">
        <w:rPr>
          <w:rFonts w:eastAsia="Times New Roman"/>
          <w:lang w:eastAsia="en-US"/>
        </w:rPr>
        <w:t>However, model 2 indicates that IBRD lending increases child</w:t>
      </w:r>
      <w:r w:rsidR="0040251D" w:rsidRPr="004E19C5">
        <w:rPr>
          <w:rFonts w:eastAsia="Times New Roman"/>
          <w:lang w:eastAsia="en-US"/>
        </w:rPr>
        <w:t xml:space="preserve"> mortality while IDA lending de</w:t>
      </w:r>
      <w:r w:rsidR="00B4214C" w:rsidRPr="004E19C5">
        <w:rPr>
          <w:rFonts w:eastAsia="Times New Roman"/>
          <w:lang w:eastAsia="en-US"/>
        </w:rPr>
        <w:t>creases child morality.</w:t>
      </w:r>
      <w:r w:rsidR="0040251D" w:rsidRPr="004E19C5">
        <w:rPr>
          <w:rFonts w:eastAsia="Times New Roman"/>
          <w:lang w:eastAsia="en-US"/>
        </w:rPr>
        <w:t xml:space="preserve"> Kaja and Werker (201</w:t>
      </w:r>
      <w:r w:rsidR="00141575" w:rsidRPr="004E19C5">
        <w:rPr>
          <w:rFonts w:eastAsia="Times New Roman"/>
          <w:lang w:eastAsia="en-US"/>
        </w:rPr>
        <w:t>0</w:t>
      </w:r>
      <w:r w:rsidR="0040251D" w:rsidRPr="004E19C5">
        <w:rPr>
          <w:rFonts w:eastAsia="Times New Roman"/>
          <w:lang w:eastAsia="en-US"/>
        </w:rPr>
        <w:t xml:space="preserve">) determined that membership on IBRD’s </w:t>
      </w:r>
      <w:r w:rsidR="00141575" w:rsidRPr="004E19C5">
        <w:rPr>
          <w:rFonts w:eastAsia="Times New Roman"/>
          <w:lang w:eastAsia="en-US"/>
        </w:rPr>
        <w:t xml:space="preserve">Executive </w:t>
      </w:r>
      <w:r w:rsidR="0040251D" w:rsidRPr="004E19C5">
        <w:rPr>
          <w:rFonts w:eastAsia="Times New Roman"/>
          <w:lang w:eastAsia="en-US"/>
        </w:rPr>
        <w:t xml:space="preserve">Board </w:t>
      </w:r>
      <w:r w:rsidR="00141575" w:rsidRPr="004E19C5">
        <w:rPr>
          <w:rFonts w:eastAsia="Times New Roman"/>
          <w:lang w:eastAsia="en-US"/>
        </w:rPr>
        <w:t xml:space="preserve">resulted in approximately double the IBRD funding compared to countries that were not on the board. </w:t>
      </w:r>
      <w:r w:rsidR="00EF433B" w:rsidRPr="004E19C5">
        <w:rPr>
          <w:rFonts w:eastAsia="Times New Roman"/>
          <w:lang w:eastAsia="en-US"/>
        </w:rPr>
        <w:t>Favoritism rather than p</w:t>
      </w:r>
      <w:r w:rsidR="004031B6" w:rsidRPr="004E19C5">
        <w:rPr>
          <w:rFonts w:eastAsia="Times New Roman"/>
          <w:lang w:eastAsia="en-US"/>
        </w:rPr>
        <w:t xml:space="preserve">overty reduction </w:t>
      </w:r>
      <w:r w:rsidR="00EF433B" w:rsidRPr="004E19C5">
        <w:rPr>
          <w:rFonts w:eastAsia="Times New Roman"/>
          <w:lang w:eastAsia="en-US"/>
        </w:rPr>
        <w:t>controlled</w:t>
      </w:r>
      <w:r w:rsidR="004031B6" w:rsidRPr="004E19C5">
        <w:rPr>
          <w:rFonts w:eastAsia="Times New Roman"/>
          <w:lang w:eastAsia="en-US"/>
        </w:rPr>
        <w:t xml:space="preserve"> IBRD lending. </w:t>
      </w:r>
      <w:r w:rsidR="00141575" w:rsidRPr="004E19C5">
        <w:rPr>
          <w:rFonts w:eastAsia="Times New Roman"/>
          <w:lang w:eastAsia="en-US"/>
        </w:rPr>
        <w:t>However, Kaja and Werker (2010) also found that membership on IDA’s board ha</w:t>
      </w:r>
      <w:r w:rsidR="00EF433B" w:rsidRPr="004E19C5">
        <w:rPr>
          <w:rFonts w:eastAsia="Times New Roman"/>
          <w:lang w:eastAsia="en-US"/>
        </w:rPr>
        <w:t>d</w:t>
      </w:r>
      <w:r w:rsidR="00141575" w:rsidRPr="004E19C5">
        <w:rPr>
          <w:rFonts w:eastAsia="Times New Roman"/>
          <w:lang w:eastAsia="en-US"/>
        </w:rPr>
        <w:t xml:space="preserve"> no influence on IDA’s lending decisions.</w:t>
      </w:r>
      <w:r w:rsidR="005B7A60" w:rsidRPr="004E19C5">
        <w:rPr>
          <w:rStyle w:val="EndnoteReference"/>
          <w:rFonts w:eastAsia="Times New Roman"/>
          <w:lang w:eastAsia="en-US"/>
        </w:rPr>
        <w:endnoteReference w:id="7"/>
      </w:r>
      <w:r w:rsidR="00141575" w:rsidRPr="004E19C5">
        <w:rPr>
          <w:rFonts w:eastAsia="Times New Roman"/>
          <w:lang w:eastAsia="en-US"/>
        </w:rPr>
        <w:t xml:space="preserve"> Morrison (2013) </w:t>
      </w:r>
      <w:r w:rsidR="004B4707" w:rsidRPr="004E19C5">
        <w:rPr>
          <w:rFonts w:eastAsia="Times New Roman"/>
          <w:lang w:eastAsia="en-US"/>
        </w:rPr>
        <w:t>reports</w:t>
      </w:r>
      <w:r w:rsidR="00141575" w:rsidRPr="004E19C5">
        <w:rPr>
          <w:rFonts w:eastAsia="Times New Roman"/>
          <w:lang w:eastAsia="en-US"/>
        </w:rPr>
        <w:t xml:space="preserve"> that </w:t>
      </w:r>
      <w:r w:rsidR="00EF433B" w:rsidRPr="004E19C5">
        <w:rPr>
          <w:rFonts w:eastAsia="Times New Roman"/>
          <w:lang w:eastAsia="en-US"/>
        </w:rPr>
        <w:t xml:space="preserve">the IDA </w:t>
      </w:r>
      <w:r w:rsidR="004B4707" w:rsidRPr="004E19C5">
        <w:rPr>
          <w:rFonts w:eastAsia="Times New Roman"/>
          <w:lang w:eastAsia="en-US"/>
        </w:rPr>
        <w:t>has instituted procedures</w:t>
      </w:r>
      <w:r w:rsidR="00141575" w:rsidRPr="004E19C5">
        <w:rPr>
          <w:rFonts w:eastAsia="Times New Roman"/>
          <w:lang w:eastAsia="en-US"/>
        </w:rPr>
        <w:t xml:space="preserve"> </w:t>
      </w:r>
      <w:r w:rsidR="004B4707" w:rsidRPr="004E19C5">
        <w:rPr>
          <w:rFonts w:eastAsia="Times New Roman"/>
          <w:lang w:eastAsia="en-US"/>
        </w:rPr>
        <w:t>to reflect its development agenda</w:t>
      </w:r>
      <w:r w:rsidR="00141575" w:rsidRPr="004E19C5">
        <w:rPr>
          <w:rFonts w:eastAsia="Times New Roman"/>
          <w:lang w:eastAsia="en-US"/>
        </w:rPr>
        <w:t xml:space="preserve">. Morrison writes: </w:t>
      </w:r>
    </w:p>
    <w:p w14:paraId="4FAC198F" w14:textId="1D0E4B1C" w:rsidR="0040251D" w:rsidRPr="004E19C5" w:rsidRDefault="0040251D" w:rsidP="004E19C5">
      <w:pPr>
        <w:spacing w:line="360" w:lineRule="auto"/>
        <w:ind w:left="720"/>
        <w:rPr>
          <w:rFonts w:eastAsia="Times New Roman"/>
          <w:lang w:eastAsia="en-US"/>
        </w:rPr>
      </w:pPr>
      <w:r w:rsidRPr="004E19C5">
        <w:rPr>
          <w:rFonts w:eastAsia="Times New Roman"/>
          <w:lang w:eastAsia="en-US"/>
        </w:rPr>
        <w:t>One of the norms that has evolved over time in IDA is that member countries should receive more money if, all else equal, they have greater promise for development because of the policies and institutions they have in place. This norm has been institutionalized in a rating system, which Bank staff use to evaluate every country each year. According to historical accounts, this rating has become increasingly important in determining the allocation of lending from IDA</w:t>
      </w:r>
      <w:r w:rsidR="00141575" w:rsidRPr="004E19C5">
        <w:rPr>
          <w:rFonts w:eastAsia="Times New Roman"/>
          <w:lang w:eastAsia="en-US"/>
        </w:rPr>
        <w:t xml:space="preserve"> (2013</w:t>
      </w:r>
      <w:r w:rsidR="00EB2417" w:rsidRPr="004E19C5">
        <w:rPr>
          <w:rFonts w:eastAsia="Times New Roman"/>
          <w:lang w:eastAsia="en-US"/>
        </w:rPr>
        <w:t>,</w:t>
      </w:r>
      <w:r w:rsidR="00141575" w:rsidRPr="004E19C5">
        <w:rPr>
          <w:rFonts w:eastAsia="Times New Roman"/>
          <w:lang w:eastAsia="en-US"/>
        </w:rPr>
        <w:t xml:space="preserve"> 292).</w:t>
      </w:r>
    </w:p>
    <w:p w14:paraId="66FBDFB8" w14:textId="5D46758F" w:rsidR="006B7D0D" w:rsidRPr="004E19C5" w:rsidRDefault="006B7D0D" w:rsidP="004E19C5">
      <w:pPr>
        <w:spacing w:line="360" w:lineRule="auto"/>
        <w:rPr>
          <w:rStyle w:val="authorname"/>
          <w:rFonts w:eastAsia="Times New Roman"/>
          <w:lang w:eastAsia="en-US"/>
        </w:rPr>
      </w:pPr>
      <w:r w:rsidRPr="004E19C5">
        <w:rPr>
          <w:rStyle w:val="authorname"/>
          <w:rFonts w:eastAsia="Times New Roman"/>
          <w:lang w:eastAsia="en-US"/>
        </w:rPr>
        <w:t xml:space="preserve">IDA is less political with established criteria to lend to poverty-stricken countries with development policies in place. </w:t>
      </w:r>
      <w:r w:rsidR="006A3631" w:rsidRPr="004E19C5">
        <w:rPr>
          <w:rStyle w:val="authorname"/>
          <w:rFonts w:eastAsia="Times New Roman"/>
          <w:lang w:eastAsia="en-US"/>
        </w:rPr>
        <w:t>The analysis support</w:t>
      </w:r>
      <w:r w:rsidR="007F6743">
        <w:rPr>
          <w:rStyle w:val="authorname"/>
          <w:rFonts w:eastAsia="Times New Roman"/>
          <w:lang w:eastAsia="en-US"/>
        </w:rPr>
        <w:t>s</w:t>
      </w:r>
      <w:r w:rsidR="006A3631" w:rsidRPr="004E19C5">
        <w:rPr>
          <w:rStyle w:val="authorname"/>
          <w:rFonts w:eastAsia="Times New Roman"/>
          <w:lang w:eastAsia="en-US"/>
        </w:rPr>
        <w:t xml:space="preserve"> conventional wisdom that </w:t>
      </w:r>
      <w:r w:rsidR="006A3631" w:rsidRPr="004E19C5">
        <w:rPr>
          <w:rFonts w:eastAsia="Times New Roman"/>
          <w:lang w:eastAsia="en-US"/>
        </w:rPr>
        <w:t>politically motivated aid is less effective in promoting positive developmental goals.</w:t>
      </w:r>
    </w:p>
    <w:p w14:paraId="783BFCBF" w14:textId="19125C9A" w:rsidR="00000759" w:rsidRPr="004E19C5" w:rsidRDefault="009A4021" w:rsidP="004E19C5">
      <w:pPr>
        <w:spacing w:line="360" w:lineRule="auto"/>
        <w:ind w:firstLine="720"/>
      </w:pPr>
      <w:r w:rsidRPr="004E19C5">
        <w:rPr>
          <w:rFonts w:eastAsia="Times New Roman"/>
          <w:lang w:eastAsia="en-US"/>
        </w:rPr>
        <w:t>The effect of IMF lending on child mortality rates</w:t>
      </w:r>
      <w:r w:rsidR="00EF5114" w:rsidRPr="004E19C5">
        <w:rPr>
          <w:rFonts w:eastAsia="Times New Roman"/>
          <w:lang w:eastAsia="en-US"/>
        </w:rPr>
        <w:t xml:space="preserve">, on the other hand, </w:t>
      </w:r>
      <w:r w:rsidRPr="004E19C5">
        <w:rPr>
          <w:rFonts w:eastAsia="Times New Roman"/>
          <w:lang w:eastAsia="en-US"/>
        </w:rPr>
        <w:t xml:space="preserve">is statistically insignificant in both models 1 and 2. </w:t>
      </w:r>
      <w:r w:rsidR="00000759" w:rsidRPr="004E19C5">
        <w:rPr>
          <w:rFonts w:eastAsia="Times New Roman"/>
          <w:lang w:eastAsia="en-US"/>
        </w:rPr>
        <w:t>Model 1 uses the total of IMF lending while Model 2 separates IMF concessional and non</w:t>
      </w:r>
      <w:r w:rsidR="006D1032" w:rsidRPr="004E19C5">
        <w:rPr>
          <w:rFonts w:eastAsia="Times New Roman"/>
          <w:lang w:eastAsia="en-US"/>
        </w:rPr>
        <w:t>-</w:t>
      </w:r>
      <w:r w:rsidR="00000759" w:rsidRPr="004E19C5">
        <w:rPr>
          <w:rFonts w:eastAsia="Times New Roman"/>
          <w:lang w:eastAsia="en-US"/>
        </w:rPr>
        <w:t>consessional lending in order to determine whether non</w:t>
      </w:r>
      <w:r w:rsidR="006D1032" w:rsidRPr="004E19C5">
        <w:rPr>
          <w:rFonts w:eastAsia="Times New Roman"/>
          <w:lang w:eastAsia="en-US"/>
        </w:rPr>
        <w:t>-</w:t>
      </w:r>
      <w:r w:rsidR="00000759" w:rsidRPr="004E19C5">
        <w:rPr>
          <w:rFonts w:eastAsia="Times New Roman"/>
          <w:lang w:eastAsia="en-US"/>
        </w:rPr>
        <w:t>consessional lending to low-income countries, countries that exhibit the greatest levels of human deprivation, benefits child survival.</w:t>
      </w:r>
      <w:r w:rsidR="0068308B" w:rsidRPr="004E19C5">
        <w:rPr>
          <w:rFonts w:eastAsia="Times New Roman"/>
          <w:lang w:eastAsia="en-US"/>
        </w:rPr>
        <w:t xml:space="preserve"> There is no evidence that </w:t>
      </w:r>
      <w:r w:rsidR="00EC53D1" w:rsidRPr="004E19C5">
        <w:rPr>
          <w:rFonts w:eastAsia="Times New Roman"/>
          <w:lang w:eastAsia="en-US"/>
        </w:rPr>
        <w:t xml:space="preserve">IMF lending (t-3) has any effect on </w:t>
      </w:r>
      <w:r w:rsidR="0068308B" w:rsidRPr="004E19C5">
        <w:rPr>
          <w:rFonts w:eastAsia="Times New Roman"/>
          <w:lang w:eastAsia="en-US"/>
        </w:rPr>
        <w:t>child morality</w:t>
      </w:r>
      <w:r w:rsidR="00EC53D1" w:rsidRPr="004E19C5">
        <w:rPr>
          <w:rFonts w:eastAsia="Times New Roman"/>
          <w:lang w:eastAsia="en-US"/>
        </w:rPr>
        <w:t>.</w:t>
      </w:r>
      <w:r w:rsidR="0068308B" w:rsidRPr="004E19C5">
        <w:rPr>
          <w:rFonts w:eastAsia="Times New Roman"/>
          <w:lang w:eastAsia="en-US"/>
        </w:rPr>
        <w:t xml:space="preserve"> </w:t>
      </w:r>
      <w:r w:rsidR="00BA62FF" w:rsidRPr="004E19C5">
        <w:t>Due to the harsh economic conditions and political constraints place</w:t>
      </w:r>
      <w:r w:rsidR="007F6743">
        <w:t>d</w:t>
      </w:r>
      <w:r w:rsidR="00BA62FF" w:rsidRPr="004E19C5">
        <w:t xml:space="preserve"> on countries receiving IMF loans</w:t>
      </w:r>
      <w:r w:rsidR="007F6743">
        <w:t>,</w:t>
      </w:r>
      <w:r w:rsidR="00BA62FF" w:rsidRPr="004E19C5">
        <w:t xml:space="preserve"> many countries simply failed to comply and the programs collapsed or were interrupted (Clements</w:t>
      </w:r>
      <w:r w:rsidR="008144E2" w:rsidRPr="004E19C5">
        <w:t>,</w:t>
      </w:r>
      <w:r w:rsidR="00BA62FF" w:rsidRPr="004E19C5">
        <w:t xml:space="preserve"> 2013).</w:t>
      </w:r>
    </w:p>
    <w:p w14:paraId="0B08F022" w14:textId="2490F245" w:rsidR="00DB4480" w:rsidRPr="004E19C5" w:rsidRDefault="004676EF" w:rsidP="004E19C5">
      <w:pPr>
        <w:pStyle w:val="NoSpacing"/>
        <w:spacing w:line="360" w:lineRule="auto"/>
        <w:rPr>
          <w:lang w:eastAsia="en-US"/>
        </w:rPr>
      </w:pPr>
      <w:r w:rsidRPr="004E19C5">
        <w:tab/>
        <w:t>Taking a longer time-frame</w:t>
      </w:r>
      <w:r w:rsidR="00737FB1" w:rsidRPr="004E19C5">
        <w:t>,</w:t>
      </w:r>
      <w:r w:rsidRPr="004E19C5">
        <w:t xml:space="preserve"> we find that </w:t>
      </w:r>
      <w:r w:rsidR="00737FB1" w:rsidRPr="004E19C5">
        <w:t xml:space="preserve">the </w:t>
      </w:r>
      <w:r w:rsidRPr="004E19C5">
        <w:t>Bank lending still has a statistically significant impact on child survival. Yet, the effect is due to IDA lending only</w:t>
      </w:r>
      <w:r w:rsidR="00737FB1" w:rsidRPr="004E19C5">
        <w:t xml:space="preserve"> as indicated in </w:t>
      </w:r>
      <w:r w:rsidR="00CF44F0">
        <w:t>M</w:t>
      </w:r>
      <w:r w:rsidR="00737FB1" w:rsidRPr="004E19C5">
        <w:t>odel 4</w:t>
      </w:r>
      <w:r w:rsidRPr="004E19C5">
        <w:t>. IBRD lending five years out has no statistically significant effect on child mortality.</w:t>
      </w:r>
      <w:r w:rsidR="001E327A" w:rsidRPr="004E19C5">
        <w:t xml:space="preserve"> Given that IBRD lending at t-3 was positive</w:t>
      </w:r>
      <w:r w:rsidR="003B50FE" w:rsidRPr="004E19C5">
        <w:t>,</w:t>
      </w:r>
      <w:r w:rsidR="001E327A" w:rsidRPr="004E19C5">
        <w:t xml:space="preserve"> the fact that it is no longer statistically significant is a beneficial result. </w:t>
      </w:r>
      <w:r w:rsidR="006175D5" w:rsidRPr="004E19C5">
        <w:t xml:space="preserve">However, IMF </w:t>
      </w:r>
      <w:r w:rsidR="00B51989" w:rsidRPr="004E19C5">
        <w:t>non</w:t>
      </w:r>
      <w:r w:rsidR="001E327A" w:rsidRPr="004E19C5">
        <w:t>-</w:t>
      </w:r>
      <w:r w:rsidR="006175D5" w:rsidRPr="004E19C5">
        <w:t>concessional lending reaches statistical significance (at the p&gt;.0</w:t>
      </w:r>
      <w:r w:rsidR="003B50FE" w:rsidRPr="004E19C5">
        <w:t>1</w:t>
      </w:r>
      <w:r w:rsidR="006175D5" w:rsidRPr="004E19C5">
        <w:t xml:space="preserve"> level) in</w:t>
      </w:r>
      <w:r w:rsidR="00B51989" w:rsidRPr="004E19C5">
        <w:t xml:space="preserve"> </w:t>
      </w:r>
      <w:r w:rsidR="00CF44F0">
        <w:t>M</w:t>
      </w:r>
      <w:r w:rsidR="00B51989" w:rsidRPr="004E19C5">
        <w:t>odel 4.</w:t>
      </w:r>
      <w:r w:rsidR="006175D5" w:rsidRPr="004E19C5">
        <w:t xml:space="preserve"> Proponents of IMF loans acknowledge that although conditionalities may produce adverse outcomes in the short-term they will generate positive developmental effects in the long term. Here</w:t>
      </w:r>
      <w:r w:rsidR="00CF44F0">
        <w:t>,</w:t>
      </w:r>
      <w:r w:rsidR="006175D5" w:rsidRPr="004E19C5">
        <w:t xml:space="preserve"> </w:t>
      </w:r>
      <w:r w:rsidR="00486FC5" w:rsidRPr="004E19C5">
        <w:t>this study finds</w:t>
      </w:r>
      <w:r w:rsidR="006175D5" w:rsidRPr="004E19C5">
        <w:t xml:space="preserve"> that IMF non</w:t>
      </w:r>
      <w:r w:rsidR="001E327A" w:rsidRPr="004E19C5">
        <w:t>-</w:t>
      </w:r>
      <w:r w:rsidR="006175D5" w:rsidRPr="004E19C5">
        <w:t>concessional loans have a small positive effect on child mortality rates. Five years after a country receives a non</w:t>
      </w:r>
      <w:r w:rsidR="001E327A" w:rsidRPr="004E19C5">
        <w:t>-</w:t>
      </w:r>
      <w:r w:rsidR="006175D5" w:rsidRPr="004E19C5">
        <w:t>concessional loan</w:t>
      </w:r>
      <w:r w:rsidR="00CF44F0">
        <w:t>,</w:t>
      </w:r>
      <w:r w:rsidR="006175D5" w:rsidRPr="004E19C5">
        <w:t xml:space="preserve"> there is a reduction in child deaths.</w:t>
      </w:r>
      <w:r w:rsidR="00A32E11" w:rsidRPr="004E19C5">
        <w:rPr>
          <w:lang w:eastAsia="en-US"/>
        </w:rPr>
        <w:t xml:space="preserve"> Countries seem to benefit from IMF imposition of macroeconomic stability conditionalities. The inclusion of poverty alleviation policies in IMF lending may have some desired effects</w:t>
      </w:r>
      <w:r w:rsidR="008954E4" w:rsidRPr="004E19C5">
        <w:rPr>
          <w:lang w:eastAsia="en-US"/>
        </w:rPr>
        <w:t xml:space="preserve"> (Oberdaberning</w:t>
      </w:r>
      <w:r w:rsidR="008144E2" w:rsidRPr="004E19C5">
        <w:rPr>
          <w:lang w:eastAsia="en-US"/>
        </w:rPr>
        <w:t>,</w:t>
      </w:r>
      <w:r w:rsidR="008954E4" w:rsidRPr="004E19C5">
        <w:rPr>
          <w:lang w:eastAsia="en-US"/>
        </w:rPr>
        <w:t xml:space="preserve"> 2013)</w:t>
      </w:r>
      <w:r w:rsidR="00DB4480" w:rsidRPr="004E19C5">
        <w:rPr>
          <w:lang w:eastAsia="en-US"/>
        </w:rPr>
        <w:t>.</w:t>
      </w:r>
    </w:p>
    <w:p w14:paraId="293A6DF0" w14:textId="3EBE0828" w:rsidR="00A52452" w:rsidRPr="004E19C5" w:rsidRDefault="00746F34" w:rsidP="004E19C5">
      <w:pPr>
        <w:pStyle w:val="NoSpacing"/>
        <w:spacing w:line="360" w:lineRule="auto"/>
        <w:ind w:firstLine="720"/>
        <w:rPr>
          <w:rFonts w:eastAsia="Times New Roman"/>
          <w:lang w:eastAsia="en-US"/>
        </w:rPr>
      </w:pPr>
      <w:r w:rsidRPr="004E19C5">
        <w:t>Debt service has no direct effect on child mortality rates</w:t>
      </w:r>
      <w:r w:rsidR="002E0FF2" w:rsidRPr="004E19C5">
        <w:t xml:space="preserve"> in any of the models</w:t>
      </w:r>
      <w:r w:rsidRPr="004E19C5">
        <w:t>. The resources freed up by the cancellation of the debt have not been used to reduce child mortality.</w:t>
      </w:r>
      <w:r w:rsidRPr="004E19C5">
        <w:rPr>
          <w:rFonts w:eastAsia="Times New Roman"/>
          <w:lang w:eastAsia="en-US"/>
        </w:rPr>
        <w:t xml:space="preserve"> Once the debt is cancelled</w:t>
      </w:r>
      <w:r w:rsidR="00CF44F0">
        <w:rPr>
          <w:rFonts w:eastAsia="Times New Roman"/>
          <w:lang w:eastAsia="en-US"/>
        </w:rPr>
        <w:t>,</w:t>
      </w:r>
      <w:r w:rsidRPr="004E19C5">
        <w:rPr>
          <w:rFonts w:eastAsia="Times New Roman"/>
          <w:lang w:eastAsia="en-US"/>
        </w:rPr>
        <w:t xml:space="preserve"> the government may or may not follow through on its promise to fund the programs listed in the PRSPs.</w:t>
      </w:r>
      <w:r w:rsidR="00A52452" w:rsidRPr="004E19C5">
        <w:t xml:space="preserve"> In addition, the elimination of bad debts allow</w:t>
      </w:r>
      <w:r w:rsidR="00CF44F0">
        <w:t>S</w:t>
      </w:r>
      <w:r w:rsidR="00A52452" w:rsidRPr="004E19C5">
        <w:t xml:space="preserve"> poor nations to apply for new loans, thus creating a new unending cycle of dependency.</w:t>
      </w:r>
      <w:r w:rsidR="00A52452" w:rsidRPr="004E19C5">
        <w:rPr>
          <w:rFonts w:eastAsia="Times New Roman"/>
          <w:lang w:eastAsia="en-US"/>
        </w:rPr>
        <w:t xml:space="preserve"> Countries continue</w:t>
      </w:r>
      <w:r w:rsidR="00CF44F0">
        <w:rPr>
          <w:rFonts w:eastAsia="Times New Roman"/>
          <w:lang w:eastAsia="en-US"/>
        </w:rPr>
        <w:t xml:space="preserve"> to</w:t>
      </w:r>
      <w:r w:rsidR="00A52452" w:rsidRPr="004E19C5">
        <w:rPr>
          <w:rFonts w:eastAsia="Times New Roman"/>
          <w:lang w:eastAsia="en-US"/>
        </w:rPr>
        <w:t xml:space="preserve"> borrow money and are now, again, in severe debt.</w:t>
      </w:r>
    </w:p>
    <w:p w14:paraId="34F60C8C" w14:textId="77777777" w:rsidR="00694C89" w:rsidRPr="004E19C5" w:rsidRDefault="00694C89" w:rsidP="004E19C5">
      <w:pPr>
        <w:pStyle w:val="NoSpacing"/>
        <w:spacing w:line="360" w:lineRule="auto"/>
        <w:ind w:firstLine="720"/>
        <w:rPr>
          <w:lang w:eastAsia="en-US"/>
        </w:rPr>
      </w:pPr>
    </w:p>
    <w:p w14:paraId="5B5CF026" w14:textId="0A869B12" w:rsidR="00953119" w:rsidRPr="004E19C5" w:rsidRDefault="0013743E" w:rsidP="004E19C5">
      <w:pPr>
        <w:spacing w:line="360" w:lineRule="auto"/>
      </w:pPr>
      <w:r w:rsidRPr="004E19C5">
        <w:t>CONCLUSION</w:t>
      </w:r>
    </w:p>
    <w:p w14:paraId="0DADEEC8" w14:textId="757C7D83" w:rsidR="005E25CD" w:rsidRPr="004E19C5" w:rsidRDefault="00B11ED6" w:rsidP="004E19C5">
      <w:pPr>
        <w:spacing w:line="360" w:lineRule="auto"/>
      </w:pPr>
      <w:r w:rsidRPr="004E19C5">
        <w:t xml:space="preserve">IFIs have </w:t>
      </w:r>
      <w:r w:rsidR="00962795">
        <w:t xml:space="preserve">a </w:t>
      </w:r>
      <w:r w:rsidRPr="004E19C5">
        <w:t>minimum a duty to respect and protect the right of the child to survival.</w:t>
      </w:r>
      <w:r w:rsidRPr="004E19C5">
        <w:rPr>
          <w:color w:val="0000FF"/>
        </w:rPr>
        <w:t xml:space="preserve"> </w:t>
      </w:r>
      <w:r w:rsidR="00B773DB" w:rsidRPr="004E19C5">
        <w:t xml:space="preserve">The IBRD lending arm of the Bank is </w:t>
      </w:r>
      <w:r w:rsidR="00683E06" w:rsidRPr="004E19C5">
        <w:t xml:space="preserve">falling short of fulfilling </w:t>
      </w:r>
      <w:r w:rsidR="00B773DB" w:rsidRPr="004E19C5">
        <w:t>its</w:t>
      </w:r>
      <w:r w:rsidR="00683E06" w:rsidRPr="004E19C5">
        <w:t xml:space="preserve"> human rights obligations, and millions of children are </w:t>
      </w:r>
      <w:r w:rsidR="0086337B" w:rsidRPr="004E19C5">
        <w:t xml:space="preserve">continuing to </w:t>
      </w:r>
      <w:r w:rsidR="00B773DB" w:rsidRPr="004E19C5">
        <w:t>d</w:t>
      </w:r>
      <w:r w:rsidR="0086337B" w:rsidRPr="004E19C5">
        <w:t>ie</w:t>
      </w:r>
      <w:r w:rsidR="00683E06" w:rsidRPr="004E19C5">
        <w:t xml:space="preserve"> as a result.</w:t>
      </w:r>
      <w:r w:rsidR="00683E06" w:rsidRPr="004E19C5">
        <w:rPr>
          <w:color w:val="0000FF"/>
        </w:rPr>
        <w:t xml:space="preserve"> </w:t>
      </w:r>
      <w:r w:rsidR="005F53D8" w:rsidRPr="004E19C5">
        <w:t>IBRD lending in the short-term subject</w:t>
      </w:r>
      <w:r w:rsidR="003354FC" w:rsidRPr="004E19C5">
        <w:t>s</w:t>
      </w:r>
      <w:r w:rsidR="005F53D8" w:rsidRPr="004E19C5">
        <w:t xml:space="preserve"> children to conditions that increase their risk of death. </w:t>
      </w:r>
      <w:r w:rsidR="00B773DB" w:rsidRPr="004E19C5">
        <w:t>IBRD lending is associated with an increase in child mortality rates in the short term and in the longer term is statistically insignificant. IDA lending, on the other hand, benefits child survival</w:t>
      </w:r>
      <w:r w:rsidR="00321A24">
        <w:t>,</w:t>
      </w:r>
      <w:r w:rsidR="00B773DB" w:rsidRPr="004E19C5">
        <w:t xml:space="preserve"> but the coefficients are small.</w:t>
      </w:r>
      <w:r w:rsidR="00172D94" w:rsidRPr="004E19C5">
        <w:t xml:space="preserve"> IMF concessional lending, lending to low-income countries, is statistically insignificant in reducing child mortality. IMF non-concessional lending</w:t>
      </w:r>
      <w:r w:rsidR="001A0C83" w:rsidRPr="004E19C5">
        <w:t>,</w:t>
      </w:r>
      <w:r w:rsidR="00172D94" w:rsidRPr="004E19C5">
        <w:t xml:space="preserve"> three years after distribution</w:t>
      </w:r>
      <w:r w:rsidR="001A0C83" w:rsidRPr="004E19C5">
        <w:t>,</w:t>
      </w:r>
      <w:r w:rsidR="00172D94" w:rsidRPr="004E19C5">
        <w:t xml:space="preserve"> ha</w:t>
      </w:r>
      <w:r w:rsidR="001A0C83" w:rsidRPr="004E19C5">
        <w:t xml:space="preserve">s no effect on child mortality although </w:t>
      </w:r>
      <w:r w:rsidR="00172D94" w:rsidRPr="004E19C5">
        <w:t xml:space="preserve">in the </w:t>
      </w:r>
      <w:r w:rsidR="00026D0B" w:rsidRPr="004E19C5">
        <w:t xml:space="preserve">medium-term </w:t>
      </w:r>
      <w:r w:rsidR="00172D94" w:rsidRPr="004E19C5">
        <w:t xml:space="preserve">term </w:t>
      </w:r>
      <w:r w:rsidR="001A0C83" w:rsidRPr="004E19C5">
        <w:t xml:space="preserve">it reduces morality. This supports the view that </w:t>
      </w:r>
      <w:r w:rsidR="00172D94" w:rsidRPr="004E19C5">
        <w:t>monetary stability is beneficial</w:t>
      </w:r>
      <w:r w:rsidR="001A0C83" w:rsidRPr="004E19C5">
        <w:t xml:space="preserve"> </w:t>
      </w:r>
      <w:r w:rsidR="00FE2072" w:rsidRPr="004E19C5">
        <w:t>in the medium-term for child survival.</w:t>
      </w:r>
      <w:r w:rsidR="00FE2072" w:rsidRPr="004E19C5">
        <w:rPr>
          <w:rFonts w:eastAsia="Times New Roman"/>
        </w:rPr>
        <w:t xml:space="preserve"> </w:t>
      </w:r>
      <w:r w:rsidR="005E25CD" w:rsidRPr="004E19C5">
        <w:t>Even for those lending programs that do improve the child mortality rates, more could be done as indicated by the small effects lending has on improving child survival. Ultimately, one can conclude that p</w:t>
      </w:r>
      <w:r w:rsidR="00B773DB" w:rsidRPr="004E19C5">
        <w:t xml:space="preserve">owerful international financial actors have been allowed to escape their </w:t>
      </w:r>
      <w:r w:rsidR="000C66EE">
        <w:t xml:space="preserve">human rights </w:t>
      </w:r>
      <w:r w:rsidR="00B773DB" w:rsidRPr="004E19C5">
        <w:t>obligations as autonomous subject</w:t>
      </w:r>
      <w:r w:rsidR="00321A24">
        <w:t>s</w:t>
      </w:r>
      <w:r w:rsidR="00B773DB" w:rsidRPr="004E19C5">
        <w:t xml:space="preserve"> of international law and </w:t>
      </w:r>
      <w:r w:rsidR="00321A24">
        <w:t xml:space="preserve">as </w:t>
      </w:r>
      <w:r w:rsidR="00B773DB" w:rsidRPr="004E19C5">
        <w:t>UN affiliates.</w:t>
      </w:r>
      <w:r w:rsidR="00B773DB" w:rsidRPr="004E19C5">
        <w:rPr>
          <w:color w:val="0000FF"/>
        </w:rPr>
        <w:t xml:space="preserve"> </w:t>
      </w:r>
    </w:p>
    <w:p w14:paraId="0774631F" w14:textId="77777777" w:rsidR="005E25CD" w:rsidRPr="004E19C5" w:rsidRDefault="005E25CD" w:rsidP="004E19C5">
      <w:pPr>
        <w:spacing w:line="360" w:lineRule="auto"/>
      </w:pPr>
    </w:p>
    <w:p w14:paraId="5961C69B" w14:textId="77777777" w:rsidR="005E25CD" w:rsidRPr="004E19C5" w:rsidRDefault="005E25CD" w:rsidP="004E19C5">
      <w:pPr>
        <w:spacing w:line="360" w:lineRule="auto"/>
        <w:rPr>
          <w:color w:val="0000FF"/>
        </w:rPr>
      </w:pPr>
    </w:p>
    <w:p w14:paraId="1775CFBA" w14:textId="77777777" w:rsidR="00953119" w:rsidRPr="004E19C5" w:rsidRDefault="00953119" w:rsidP="004E19C5">
      <w:pPr>
        <w:spacing w:line="360" w:lineRule="auto"/>
      </w:pPr>
    </w:p>
    <w:p w14:paraId="54CD6CD7" w14:textId="518A764D" w:rsidR="00136052" w:rsidRPr="004E19C5" w:rsidRDefault="00136052" w:rsidP="004E19C5">
      <w:pPr>
        <w:spacing w:line="360" w:lineRule="auto"/>
      </w:pPr>
    </w:p>
    <w:p w14:paraId="2A87C881" w14:textId="77777777" w:rsidR="00A66A24" w:rsidRPr="004E19C5" w:rsidRDefault="00A66A24" w:rsidP="004E19C5">
      <w:pPr>
        <w:spacing w:line="360" w:lineRule="auto"/>
      </w:pPr>
    </w:p>
    <w:p w14:paraId="1600F1C5" w14:textId="77777777" w:rsidR="00163E20" w:rsidRDefault="00163E20" w:rsidP="004B5322"/>
    <w:p w14:paraId="3D47CDAF" w14:textId="77777777" w:rsidR="00163E20" w:rsidRDefault="00163E20" w:rsidP="004B5322"/>
    <w:p w14:paraId="06AA987B" w14:textId="77777777" w:rsidR="00163E20" w:rsidRDefault="00163E20" w:rsidP="004B5322"/>
    <w:p w14:paraId="59A85B5B" w14:textId="77777777" w:rsidR="00163E20" w:rsidRDefault="00163E20" w:rsidP="004B5322"/>
    <w:p w14:paraId="2AC5A680" w14:textId="77777777" w:rsidR="00163E20" w:rsidRDefault="00163E20" w:rsidP="004B5322"/>
    <w:p w14:paraId="7B913A50" w14:textId="77777777" w:rsidR="00163E20" w:rsidRDefault="00163E20" w:rsidP="004B5322"/>
    <w:p w14:paraId="0D7709A6" w14:textId="77777777" w:rsidR="00163E20" w:rsidRDefault="00163E20" w:rsidP="004B5322"/>
    <w:p w14:paraId="2DFB06FB" w14:textId="77777777" w:rsidR="004B5322" w:rsidRPr="00255220" w:rsidRDefault="004B5322" w:rsidP="004B5322">
      <w:r w:rsidRPr="00255220">
        <w:t>REFERENCES</w:t>
      </w:r>
    </w:p>
    <w:p w14:paraId="1247A001" w14:textId="77777777" w:rsidR="004B5322" w:rsidRPr="00255220" w:rsidRDefault="004B5322" w:rsidP="004B5322">
      <w:pPr>
        <w:rPr>
          <w:rFonts w:eastAsiaTheme="minorEastAsia"/>
          <w:lang w:eastAsia="en-US"/>
        </w:rPr>
      </w:pPr>
    </w:p>
    <w:p w14:paraId="75F6D5E8" w14:textId="0F0B98C8" w:rsidR="004B5322" w:rsidRPr="004C243A" w:rsidRDefault="004B5322" w:rsidP="001D6040">
      <w:pPr>
        <w:pStyle w:val="NoSpacing"/>
        <w:rPr>
          <w:rFonts w:eastAsia="Times New Roman"/>
          <w:lang w:eastAsia="en-US"/>
        </w:rPr>
      </w:pPr>
      <w:r w:rsidRPr="004C243A">
        <w:rPr>
          <w:lang w:eastAsia="en-US"/>
        </w:rPr>
        <w:t>Abouharb,</w:t>
      </w:r>
      <w:r w:rsidR="002D0DA1" w:rsidRPr="004C243A">
        <w:rPr>
          <w:lang w:eastAsia="en-US"/>
        </w:rPr>
        <w:t xml:space="preserve"> Rodwan,</w:t>
      </w:r>
      <w:r w:rsidRPr="004C243A">
        <w:rPr>
          <w:lang w:eastAsia="en-US"/>
        </w:rPr>
        <w:t xml:space="preserve"> David Cingranelli and Mikhail Filippov  </w:t>
      </w:r>
      <w:r w:rsidR="002D0DA1" w:rsidRPr="004C243A">
        <w:rPr>
          <w:lang w:eastAsia="en-US"/>
        </w:rPr>
        <w:t>(</w:t>
      </w:r>
      <w:r w:rsidRPr="004C243A">
        <w:rPr>
          <w:lang w:eastAsia="en-US"/>
        </w:rPr>
        <w:t>2015</w:t>
      </w:r>
      <w:r w:rsidR="002D0DA1" w:rsidRPr="004C243A">
        <w:rPr>
          <w:lang w:eastAsia="en-US"/>
        </w:rPr>
        <w:t>)</w:t>
      </w:r>
      <w:r w:rsidRPr="004C243A">
        <w:rPr>
          <w:lang w:eastAsia="en-US"/>
        </w:rPr>
        <w:t xml:space="preserve"> </w:t>
      </w:r>
      <w:r w:rsidR="009A7F2D" w:rsidRPr="004C243A">
        <w:rPr>
          <w:lang w:eastAsia="en-US"/>
        </w:rPr>
        <w:t>‘</w:t>
      </w:r>
      <w:r w:rsidRPr="004C243A">
        <w:rPr>
          <w:lang w:eastAsia="en-US"/>
        </w:rPr>
        <w:t>Do Non–Human Rights Regimes Undermine the Achievement of Economic and Social Rights?</w:t>
      </w:r>
      <w:r w:rsidR="009A7F2D" w:rsidRPr="004C243A">
        <w:rPr>
          <w:lang w:eastAsia="en-US"/>
        </w:rPr>
        <w:t>’</w:t>
      </w:r>
      <w:r w:rsidR="00043839" w:rsidRPr="004C243A">
        <w:rPr>
          <w:lang w:eastAsia="en-US"/>
        </w:rPr>
        <w:t>,</w:t>
      </w:r>
      <w:r w:rsidRPr="004C243A">
        <w:rPr>
          <w:lang w:eastAsia="en-US"/>
        </w:rPr>
        <w:t xml:space="preserve"> </w:t>
      </w:r>
      <w:r w:rsidR="002D0DA1" w:rsidRPr="004C243A">
        <w:rPr>
          <w:lang w:eastAsia="en-US"/>
        </w:rPr>
        <w:t>i</w:t>
      </w:r>
      <w:r w:rsidRPr="004C243A">
        <w:rPr>
          <w:lang w:eastAsia="en-US"/>
        </w:rPr>
        <w:t xml:space="preserve">n </w:t>
      </w:r>
      <w:r w:rsidR="002D0DA1" w:rsidRPr="004C243A">
        <w:rPr>
          <w:rStyle w:val="name"/>
          <w:rFonts w:eastAsia="Times New Roman"/>
        </w:rPr>
        <w:t>LaDawn Haglund</w:t>
      </w:r>
      <w:r w:rsidR="002D0DA1" w:rsidRPr="004C243A">
        <w:rPr>
          <w:lang w:eastAsia="en-US"/>
        </w:rPr>
        <w:t xml:space="preserve"> and </w:t>
      </w:r>
      <w:r w:rsidR="002D0DA1" w:rsidRPr="004C243A">
        <w:rPr>
          <w:rStyle w:val="name"/>
          <w:rFonts w:eastAsia="Times New Roman"/>
        </w:rPr>
        <w:t xml:space="preserve">Robin Stryker </w:t>
      </w:r>
      <w:r w:rsidR="002D0DA1" w:rsidRPr="004C243A">
        <w:rPr>
          <w:rFonts w:eastAsia="Times New Roman"/>
        </w:rPr>
        <w:t>(eds)</w:t>
      </w:r>
      <w:r w:rsidR="002D0DA1" w:rsidRPr="004C243A">
        <w:rPr>
          <w:rStyle w:val="name"/>
          <w:rFonts w:eastAsia="Times New Roman"/>
        </w:rPr>
        <w:t xml:space="preserve">, </w:t>
      </w:r>
      <w:r w:rsidRPr="004C243A">
        <w:rPr>
          <w:rFonts w:eastAsia="Times New Roman"/>
          <w:i/>
        </w:rPr>
        <w:t>Closing the Rights Gap: From Human Rights to Social Transformation</w:t>
      </w:r>
      <w:r w:rsidR="002D0DA1" w:rsidRPr="004C243A">
        <w:rPr>
          <w:rFonts w:eastAsia="Times New Roman"/>
        </w:rPr>
        <w:t xml:space="preserve">, </w:t>
      </w:r>
      <w:r w:rsidRPr="004C243A">
        <w:rPr>
          <w:rStyle w:val="name"/>
          <w:rFonts w:eastAsia="Times New Roman"/>
        </w:rPr>
        <w:t xml:space="preserve">Berkeley: </w:t>
      </w:r>
      <w:r w:rsidR="002D0DA1" w:rsidRPr="004C243A">
        <w:rPr>
          <w:rFonts w:eastAsia="Times New Roman"/>
          <w:shd w:val="clear" w:color="auto" w:fill="FFFFFF"/>
          <w:lang w:eastAsia="en-US"/>
        </w:rPr>
        <w:t>University of California Press, pp.</w:t>
      </w:r>
      <w:r w:rsidRPr="004C243A">
        <w:rPr>
          <w:rFonts w:eastAsia="Times New Roman"/>
          <w:shd w:val="clear" w:color="auto" w:fill="FFFFFF"/>
          <w:lang w:eastAsia="en-US"/>
        </w:rPr>
        <w:t> 29–48.</w:t>
      </w:r>
    </w:p>
    <w:p w14:paraId="147C3072" w14:textId="77777777" w:rsidR="001B4EC0" w:rsidRPr="004C243A" w:rsidRDefault="001B4EC0" w:rsidP="001D6040">
      <w:pPr>
        <w:pStyle w:val="NoSpacing"/>
        <w:rPr>
          <w:rFonts w:eastAsia="Times New Roman"/>
          <w:lang w:eastAsia="en-US"/>
        </w:rPr>
      </w:pPr>
    </w:p>
    <w:p w14:paraId="5B9E258B" w14:textId="102BDB1F" w:rsidR="008D6834" w:rsidRPr="004C243A" w:rsidRDefault="004B5322" w:rsidP="001D6040">
      <w:pPr>
        <w:pStyle w:val="NoSpacing"/>
        <w:rPr>
          <w:rFonts w:eastAsia="Times New Roman"/>
          <w:lang w:eastAsia="en-US"/>
        </w:rPr>
      </w:pPr>
      <w:r w:rsidRPr="004C243A">
        <w:rPr>
          <w:rFonts w:eastAsia="Times New Roman"/>
          <w:lang w:eastAsia="en-US"/>
        </w:rPr>
        <w:t>Blackmon</w:t>
      </w:r>
      <w:r w:rsidR="00F55963" w:rsidRPr="004C243A">
        <w:rPr>
          <w:rFonts w:eastAsia="Times New Roman"/>
          <w:lang w:eastAsia="en-US"/>
        </w:rPr>
        <w:t>, Pamela (2008)</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Rethinking Poverty through the Eyes of the International Monetary Fund and the World Bank</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International Studies Review</w:t>
      </w:r>
      <w:r w:rsidR="00F55963" w:rsidRPr="004C243A">
        <w:rPr>
          <w:rFonts w:eastAsia="Times New Roman"/>
          <w:lang w:eastAsia="en-US"/>
        </w:rPr>
        <w:t>,</w:t>
      </w:r>
      <w:r w:rsidRPr="004C243A">
        <w:rPr>
          <w:rFonts w:eastAsia="Times New Roman"/>
          <w:lang w:eastAsia="en-US"/>
        </w:rPr>
        <w:t xml:space="preserve"> 10</w:t>
      </w:r>
      <w:r w:rsidR="00F55963" w:rsidRPr="004C243A">
        <w:rPr>
          <w:rFonts w:eastAsia="Times New Roman"/>
          <w:lang w:eastAsia="en-US"/>
        </w:rPr>
        <w:t xml:space="preserve">, </w:t>
      </w:r>
      <w:r w:rsidRPr="004C243A">
        <w:rPr>
          <w:rFonts w:eastAsia="Times New Roman"/>
          <w:lang w:eastAsia="en-US"/>
        </w:rPr>
        <w:t>179–202</w:t>
      </w:r>
      <w:r w:rsidR="008D3D8D" w:rsidRPr="004C243A">
        <w:rPr>
          <w:rFonts w:eastAsia="Times New Roman"/>
          <w:lang w:eastAsia="en-US"/>
        </w:rPr>
        <w:t>.</w:t>
      </w:r>
    </w:p>
    <w:p w14:paraId="7D4435DA" w14:textId="77777777" w:rsidR="0087130D" w:rsidRPr="004C243A" w:rsidRDefault="0087130D" w:rsidP="0087130D">
      <w:pPr>
        <w:rPr>
          <w:rFonts w:eastAsia="Times New Roman"/>
        </w:rPr>
      </w:pPr>
    </w:p>
    <w:p w14:paraId="560447D2" w14:textId="4AF0DFA3" w:rsidR="0087130D" w:rsidRPr="004C243A" w:rsidRDefault="0087130D" w:rsidP="0087130D">
      <w:pPr>
        <w:rPr>
          <w:rFonts w:eastAsia="Times New Roman"/>
          <w:lang w:eastAsia="en-US"/>
        </w:rPr>
      </w:pPr>
      <w:r w:rsidRPr="004C243A">
        <w:rPr>
          <w:rFonts w:eastAsia="Times New Roman"/>
        </w:rPr>
        <w:t xml:space="preserve">Bokhari, </w:t>
      </w:r>
      <w:r w:rsidR="008D3D8D" w:rsidRPr="004C243A">
        <w:rPr>
          <w:rFonts w:eastAsia="Times New Roman"/>
        </w:rPr>
        <w:t xml:space="preserve">Farasat, </w:t>
      </w:r>
      <w:r w:rsidRPr="004C243A">
        <w:rPr>
          <w:rFonts w:eastAsia="Times New Roman"/>
        </w:rPr>
        <w:t xml:space="preserve">Yunwei Gai and Pablo Gottret </w:t>
      </w:r>
      <w:r w:rsidR="008D3D8D" w:rsidRPr="004C243A">
        <w:rPr>
          <w:rFonts w:eastAsia="Times New Roman"/>
        </w:rPr>
        <w:t>(</w:t>
      </w:r>
      <w:r w:rsidRPr="004C243A">
        <w:rPr>
          <w:rFonts w:eastAsia="Times New Roman"/>
        </w:rPr>
        <w:t>2007</w:t>
      </w:r>
      <w:r w:rsidR="00907F67" w:rsidRPr="004C243A">
        <w:rPr>
          <w:rFonts w:eastAsia="Times New Roman"/>
        </w:rPr>
        <w:t>)</w:t>
      </w:r>
      <w:r w:rsidRPr="004C243A">
        <w:rPr>
          <w:rFonts w:eastAsia="Times New Roman"/>
        </w:rPr>
        <w:t xml:space="preserve"> </w:t>
      </w:r>
      <w:r w:rsidR="009A7F2D" w:rsidRPr="004C243A">
        <w:rPr>
          <w:rFonts w:eastAsia="Times New Roman"/>
        </w:rPr>
        <w:t>‘</w:t>
      </w:r>
      <w:r w:rsidRPr="004C243A">
        <w:rPr>
          <w:rFonts w:eastAsia="Times New Roman"/>
        </w:rPr>
        <w:t>Government Health Expenditures and Health Outcomes</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Health Economics</w:t>
      </w:r>
      <w:r w:rsidR="001D2AE1" w:rsidRPr="004C243A">
        <w:rPr>
          <w:rFonts w:eastAsia="Times New Roman"/>
          <w:i/>
          <w:lang w:eastAsia="en-US"/>
        </w:rPr>
        <w:t>,</w:t>
      </w:r>
      <w:r w:rsidRPr="004C243A">
        <w:rPr>
          <w:rFonts w:eastAsia="Times New Roman"/>
          <w:lang w:eastAsia="en-US"/>
        </w:rPr>
        <w:t xml:space="preserve"> 16</w:t>
      </w:r>
      <w:r w:rsidR="001D2AE1" w:rsidRPr="004C243A">
        <w:rPr>
          <w:rFonts w:eastAsia="Times New Roman"/>
          <w:lang w:eastAsia="en-US"/>
        </w:rPr>
        <w:t>,</w:t>
      </w:r>
      <w:r w:rsidRPr="004C243A">
        <w:rPr>
          <w:rFonts w:eastAsia="Times New Roman"/>
          <w:lang w:eastAsia="en-US"/>
        </w:rPr>
        <w:t xml:space="preserve"> 257–273</w:t>
      </w:r>
      <w:r w:rsidR="008D3D8D" w:rsidRPr="004C243A">
        <w:rPr>
          <w:rFonts w:eastAsia="Times New Roman"/>
          <w:lang w:eastAsia="en-US"/>
        </w:rPr>
        <w:t>.</w:t>
      </w:r>
      <w:r w:rsidRPr="004C243A">
        <w:rPr>
          <w:rFonts w:eastAsia="Times New Roman"/>
          <w:lang w:eastAsia="en-US"/>
        </w:rPr>
        <w:t xml:space="preserve"> </w:t>
      </w:r>
    </w:p>
    <w:p w14:paraId="3D05F8B1" w14:textId="77777777" w:rsidR="001B4EC0" w:rsidRPr="004C243A" w:rsidRDefault="001B4EC0" w:rsidP="001D6040">
      <w:pPr>
        <w:pStyle w:val="NoSpacing"/>
        <w:rPr>
          <w:rFonts w:eastAsia="Times New Roman"/>
          <w:lang w:eastAsia="en-US"/>
        </w:rPr>
      </w:pPr>
    </w:p>
    <w:p w14:paraId="2CFAED32" w14:textId="15463452" w:rsidR="00517C42" w:rsidRPr="004C243A" w:rsidRDefault="008D6834" w:rsidP="001D6040">
      <w:pPr>
        <w:pStyle w:val="NoSpacing"/>
        <w:rPr>
          <w:lang w:eastAsia="en-US"/>
        </w:rPr>
      </w:pPr>
      <w:r w:rsidRPr="004C243A">
        <w:rPr>
          <w:lang w:eastAsia="en-US"/>
        </w:rPr>
        <w:t>Byrnes</w:t>
      </w:r>
      <w:r w:rsidR="00907F67" w:rsidRPr="004C243A">
        <w:rPr>
          <w:lang w:eastAsia="en-US"/>
        </w:rPr>
        <w:t>,</w:t>
      </w:r>
      <w:r w:rsidRPr="004C243A">
        <w:rPr>
          <w:lang w:eastAsia="en-US"/>
        </w:rPr>
        <w:t xml:space="preserve"> </w:t>
      </w:r>
      <w:r w:rsidR="00907F67" w:rsidRPr="004C243A">
        <w:rPr>
          <w:lang w:eastAsia="en-US"/>
        </w:rPr>
        <w:t>Andrew (</w:t>
      </w:r>
      <w:r w:rsidRPr="004C243A">
        <w:rPr>
          <w:lang w:eastAsia="en-US"/>
        </w:rPr>
        <w:t>2011</w:t>
      </w:r>
      <w:r w:rsidR="00907F67" w:rsidRPr="004C243A">
        <w:rPr>
          <w:lang w:eastAsia="en-US"/>
        </w:rPr>
        <w:t>)</w:t>
      </w:r>
      <w:r w:rsidRPr="004C243A">
        <w:rPr>
          <w:lang w:eastAsia="en-US"/>
        </w:rPr>
        <w:t xml:space="preserve"> </w:t>
      </w:r>
      <w:r w:rsidR="009A7F2D" w:rsidRPr="004C243A">
        <w:rPr>
          <w:lang w:eastAsia="en-US"/>
        </w:rPr>
        <w:t>‘</w:t>
      </w:r>
      <w:r w:rsidRPr="004C243A">
        <w:rPr>
          <w:lang w:eastAsia="en-US"/>
        </w:rPr>
        <w:t>The Asian Development Bank and the Role of Human Rights in the Pursuit of Just and Sustainable Development in the Asia-Pacific Region: An Advocacy Role for Australia?</w:t>
      </w:r>
      <w:r w:rsidR="009A7F2D" w:rsidRPr="004C243A">
        <w:rPr>
          <w:lang w:eastAsia="en-US"/>
        </w:rPr>
        <w:t>’</w:t>
      </w:r>
      <w:r w:rsidR="00350CB7" w:rsidRPr="004C243A">
        <w:rPr>
          <w:lang w:eastAsia="en-US"/>
        </w:rPr>
        <w:t xml:space="preserve"> </w:t>
      </w:r>
      <w:r w:rsidRPr="004C243A">
        <w:rPr>
          <w:i/>
          <w:lang w:eastAsia="en-US"/>
        </w:rPr>
        <w:t>Australian International Law Journal</w:t>
      </w:r>
      <w:r w:rsidR="001D2AE1" w:rsidRPr="004C243A">
        <w:rPr>
          <w:i/>
          <w:lang w:eastAsia="en-US"/>
        </w:rPr>
        <w:t>,</w:t>
      </w:r>
      <w:r w:rsidRPr="004C243A">
        <w:rPr>
          <w:lang w:eastAsia="en-US"/>
        </w:rPr>
        <w:t xml:space="preserve"> 18</w:t>
      </w:r>
      <w:r w:rsidR="001D2AE1" w:rsidRPr="004C243A">
        <w:rPr>
          <w:lang w:eastAsia="en-US"/>
        </w:rPr>
        <w:t>,</w:t>
      </w:r>
      <w:r w:rsidRPr="004C243A">
        <w:rPr>
          <w:lang w:eastAsia="en-US"/>
        </w:rPr>
        <w:t xml:space="preserve"> 1-21.</w:t>
      </w:r>
    </w:p>
    <w:p w14:paraId="3CEC3154" w14:textId="77777777" w:rsidR="001D6040" w:rsidRPr="004C243A" w:rsidRDefault="001D6040" w:rsidP="001D6040">
      <w:pPr>
        <w:pStyle w:val="NoSpacing"/>
        <w:rPr>
          <w:lang w:eastAsia="en-US"/>
        </w:rPr>
      </w:pPr>
    </w:p>
    <w:p w14:paraId="2EC844C5" w14:textId="3DF2C8EF" w:rsidR="00F95A6E" w:rsidRPr="004C243A" w:rsidRDefault="00F95A6E" w:rsidP="00F95A6E">
      <w:pPr>
        <w:rPr>
          <w:rFonts w:eastAsia="Times New Roman"/>
          <w:lang w:eastAsia="en-US"/>
        </w:rPr>
      </w:pPr>
      <w:r w:rsidRPr="004C243A">
        <w:rPr>
          <w:rFonts w:eastAsia="Times New Roman"/>
          <w:lang w:eastAsia="en-US"/>
        </w:rPr>
        <w:t>Canning</w:t>
      </w:r>
      <w:r w:rsidR="00350CB7" w:rsidRPr="004C243A">
        <w:rPr>
          <w:rFonts w:eastAsia="Times New Roman"/>
          <w:lang w:eastAsia="en-US"/>
        </w:rPr>
        <w:t>,</w:t>
      </w:r>
      <w:r w:rsidRPr="004C243A">
        <w:rPr>
          <w:rFonts w:eastAsia="Times New Roman"/>
          <w:lang w:eastAsia="en-US"/>
        </w:rPr>
        <w:t xml:space="preserve"> </w:t>
      </w:r>
      <w:r w:rsidR="00350CB7" w:rsidRPr="004C243A">
        <w:rPr>
          <w:rFonts w:eastAsia="Times New Roman"/>
          <w:lang w:eastAsia="en-US"/>
        </w:rPr>
        <w:t xml:space="preserve">David </w:t>
      </w:r>
      <w:r w:rsidRPr="004C243A">
        <w:rPr>
          <w:rFonts w:eastAsia="Times New Roman"/>
          <w:lang w:eastAsia="en-US"/>
        </w:rPr>
        <w:t>and T Paul Schultz</w:t>
      </w:r>
      <w:r w:rsidR="00350CB7" w:rsidRPr="004C243A">
        <w:rPr>
          <w:rFonts w:eastAsia="Times New Roman"/>
          <w:lang w:eastAsia="en-US"/>
        </w:rPr>
        <w:t xml:space="preserve"> </w:t>
      </w:r>
      <w:r w:rsidRPr="004C243A">
        <w:rPr>
          <w:rFonts w:eastAsia="Times New Roman"/>
          <w:lang w:eastAsia="en-US"/>
        </w:rPr>
        <w:t xml:space="preserve"> </w:t>
      </w:r>
      <w:r w:rsidR="00350CB7" w:rsidRPr="004C243A">
        <w:rPr>
          <w:rFonts w:eastAsia="Times New Roman"/>
          <w:lang w:eastAsia="en-US"/>
        </w:rPr>
        <w:t>(2012)</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The Economic Consequences of Reproductive Health and Family Planning</w:t>
      </w:r>
      <w:r w:rsidR="009A7F2D" w:rsidRPr="004C243A">
        <w:rPr>
          <w:rFonts w:eastAsia="Times New Roman"/>
          <w:lang w:eastAsia="en-US"/>
        </w:rPr>
        <w:t>’</w:t>
      </w:r>
      <w:r w:rsidR="00350CB7" w:rsidRPr="004C243A">
        <w:rPr>
          <w:rFonts w:eastAsia="Times New Roman"/>
          <w:lang w:eastAsia="en-US"/>
        </w:rPr>
        <w:t>, accessed 14 December 2015 at</w:t>
      </w:r>
      <w:r w:rsidRPr="004C243A">
        <w:rPr>
          <w:rFonts w:eastAsia="Times New Roman"/>
          <w:lang w:eastAsia="en-US"/>
        </w:rPr>
        <w:t xml:space="preserve"> www.mamaye.org/sites/default/files/evidence/The%20economic%20consequences%20of%20reproductive%20health%20and%20family%20planning.pdf</w:t>
      </w:r>
    </w:p>
    <w:p w14:paraId="25D67160" w14:textId="77777777" w:rsidR="00F95A6E" w:rsidRPr="004C243A" w:rsidRDefault="00F95A6E" w:rsidP="001D6040">
      <w:pPr>
        <w:pStyle w:val="NoSpacing"/>
        <w:rPr>
          <w:lang w:eastAsia="en-US"/>
        </w:rPr>
      </w:pPr>
    </w:p>
    <w:p w14:paraId="0C171005" w14:textId="6D4E6755" w:rsidR="00CB0D56" w:rsidRPr="004C243A" w:rsidRDefault="00CB0D56" w:rsidP="00CB0D56">
      <w:pPr>
        <w:widowControl w:val="0"/>
        <w:autoSpaceDE w:val="0"/>
        <w:autoSpaceDN w:val="0"/>
        <w:adjustRightInd w:val="0"/>
        <w:spacing w:after="240"/>
        <w:rPr>
          <w:rFonts w:eastAsiaTheme="minorEastAsia"/>
          <w:lang w:eastAsia="en-US"/>
        </w:rPr>
      </w:pPr>
      <w:r w:rsidRPr="004C243A">
        <w:rPr>
          <w:rFonts w:eastAsiaTheme="minorEastAsia"/>
          <w:lang w:eastAsia="en-US"/>
        </w:rPr>
        <w:t>Capdevila</w:t>
      </w:r>
      <w:r w:rsidR="00093195" w:rsidRPr="004C243A">
        <w:rPr>
          <w:rFonts w:eastAsiaTheme="minorEastAsia"/>
          <w:lang w:eastAsia="en-US"/>
        </w:rPr>
        <w:t xml:space="preserve">, Gustavo </w:t>
      </w:r>
      <w:r w:rsidRPr="004C243A">
        <w:rPr>
          <w:rFonts w:eastAsiaTheme="minorEastAsia"/>
          <w:lang w:eastAsia="en-US"/>
        </w:rPr>
        <w:t xml:space="preserve"> </w:t>
      </w:r>
      <w:r w:rsidR="00093195" w:rsidRPr="004C243A">
        <w:rPr>
          <w:rFonts w:eastAsiaTheme="minorEastAsia"/>
          <w:lang w:eastAsia="en-US"/>
        </w:rPr>
        <w:t>(2001)</w:t>
      </w:r>
      <w:r w:rsidRPr="004C243A">
        <w:rPr>
          <w:rFonts w:eastAsiaTheme="minorEastAsia"/>
          <w:lang w:eastAsia="en-US"/>
        </w:rPr>
        <w:t xml:space="preserve"> </w:t>
      </w:r>
      <w:r w:rsidR="009A7F2D" w:rsidRPr="004C243A">
        <w:rPr>
          <w:rFonts w:eastAsiaTheme="minorEastAsia"/>
          <w:lang w:eastAsia="en-US"/>
        </w:rPr>
        <w:t>‘</w:t>
      </w:r>
      <w:r w:rsidRPr="004C243A">
        <w:rPr>
          <w:rFonts w:eastAsiaTheme="minorEastAsia"/>
          <w:lang w:eastAsia="en-US"/>
        </w:rPr>
        <w:t>IMF Not Taking into Account Human Rights Issues</w:t>
      </w:r>
      <w:r w:rsidR="009A7F2D" w:rsidRPr="004C243A">
        <w:rPr>
          <w:rFonts w:eastAsiaTheme="minorEastAsia"/>
          <w:lang w:eastAsia="en-US"/>
        </w:rPr>
        <w:t>’</w:t>
      </w:r>
      <w:r w:rsidRPr="004C243A">
        <w:rPr>
          <w:rFonts w:eastAsiaTheme="minorEastAsia"/>
          <w:lang w:eastAsia="en-US"/>
        </w:rPr>
        <w:t xml:space="preserve"> </w:t>
      </w:r>
      <w:r w:rsidRPr="004C243A">
        <w:rPr>
          <w:rFonts w:eastAsiaTheme="minorEastAsia"/>
          <w:i/>
          <w:iCs/>
          <w:lang w:eastAsia="en-US"/>
        </w:rPr>
        <w:t>Global Policy Forum</w:t>
      </w:r>
      <w:r w:rsidR="00093195" w:rsidRPr="004C243A">
        <w:rPr>
          <w:rFonts w:eastAsiaTheme="minorEastAsia"/>
          <w:lang w:eastAsia="en-US"/>
        </w:rPr>
        <w:t xml:space="preserve"> </w:t>
      </w:r>
      <w:r w:rsidR="00093195" w:rsidRPr="004C243A">
        <w:rPr>
          <w:rFonts w:eastAsia="Times New Roman"/>
          <w:lang w:eastAsia="en-US"/>
        </w:rPr>
        <w:t xml:space="preserve">accessed 24 December 2015 at </w:t>
      </w:r>
      <w:r w:rsidRPr="004C243A">
        <w:rPr>
          <w:rFonts w:eastAsiaTheme="minorEastAsia"/>
          <w:lang w:eastAsia="en-US"/>
        </w:rPr>
        <w:t xml:space="preserve">www.globalpolicy.org/component/content/article /209/42944.html. </w:t>
      </w:r>
    </w:p>
    <w:p w14:paraId="4910298E" w14:textId="0092041F" w:rsidR="00CB0D56" w:rsidRPr="004C243A" w:rsidRDefault="00B25FED" w:rsidP="00B25FED">
      <w:pPr>
        <w:widowControl w:val="0"/>
        <w:tabs>
          <w:tab w:val="left" w:pos="220"/>
          <w:tab w:val="left" w:pos="360"/>
        </w:tabs>
        <w:autoSpaceDE w:val="0"/>
        <w:autoSpaceDN w:val="0"/>
        <w:adjustRightInd w:val="0"/>
        <w:spacing w:after="240"/>
        <w:rPr>
          <w:rFonts w:eastAsiaTheme="minorEastAsia"/>
          <w:lang w:eastAsia="en-US"/>
        </w:rPr>
      </w:pPr>
      <w:r w:rsidRPr="004C243A">
        <w:rPr>
          <w:rFonts w:eastAsiaTheme="minorEastAsia"/>
          <w:lang w:eastAsia="en-US"/>
        </w:rPr>
        <w:t xml:space="preserve">Cavanagh, </w:t>
      </w:r>
      <w:r w:rsidR="00DB6330" w:rsidRPr="004C243A">
        <w:rPr>
          <w:rFonts w:eastAsiaTheme="minorEastAsia"/>
          <w:lang w:eastAsia="en-US"/>
        </w:rPr>
        <w:t xml:space="preserve">John, </w:t>
      </w:r>
      <w:r w:rsidRPr="004C243A">
        <w:rPr>
          <w:rFonts w:eastAsiaTheme="minorEastAsia"/>
          <w:lang w:eastAsia="en-US"/>
        </w:rPr>
        <w:t xml:space="preserve">Carol Welch and Simon Retallack </w:t>
      </w:r>
      <w:r w:rsidR="00DB6330" w:rsidRPr="004C243A">
        <w:rPr>
          <w:rFonts w:eastAsiaTheme="minorEastAsia"/>
          <w:lang w:eastAsia="en-US"/>
        </w:rPr>
        <w:t>(</w:t>
      </w:r>
      <w:r w:rsidRPr="004C243A">
        <w:rPr>
          <w:rFonts w:eastAsiaTheme="minorEastAsia"/>
          <w:lang w:eastAsia="en-US"/>
        </w:rPr>
        <w:t>2000</w:t>
      </w:r>
      <w:r w:rsidR="00DB6330" w:rsidRPr="004C243A">
        <w:rPr>
          <w:rFonts w:eastAsiaTheme="minorEastAsia"/>
          <w:lang w:eastAsia="en-US"/>
        </w:rPr>
        <w:t>)</w:t>
      </w:r>
      <w:r w:rsidRPr="004C243A">
        <w:rPr>
          <w:rFonts w:eastAsiaTheme="minorEastAsia"/>
          <w:lang w:eastAsia="en-US"/>
        </w:rPr>
        <w:t xml:space="preserve"> </w:t>
      </w:r>
      <w:r w:rsidR="009A7F2D" w:rsidRPr="004C243A">
        <w:rPr>
          <w:rFonts w:eastAsiaTheme="minorEastAsia"/>
          <w:lang w:eastAsia="en-US"/>
        </w:rPr>
        <w:t>‘</w:t>
      </w:r>
      <w:r w:rsidRPr="004C243A">
        <w:rPr>
          <w:rFonts w:eastAsiaTheme="minorEastAsia"/>
          <w:lang w:eastAsia="en-US"/>
        </w:rPr>
        <w:t xml:space="preserve">The IMF Formula: Generating </w:t>
      </w:r>
      <w:r w:rsidR="00DB6330" w:rsidRPr="004C243A">
        <w:rPr>
          <w:rFonts w:eastAsiaTheme="minorEastAsia"/>
          <w:lang w:eastAsia="en-US"/>
        </w:rPr>
        <w:t>P</w:t>
      </w:r>
      <w:r w:rsidRPr="004C243A">
        <w:rPr>
          <w:rFonts w:eastAsiaTheme="minorEastAsia"/>
          <w:lang w:eastAsia="en-US"/>
        </w:rPr>
        <w:t>overty</w:t>
      </w:r>
      <w:r w:rsidR="009A7F2D" w:rsidRPr="004C243A">
        <w:rPr>
          <w:rFonts w:eastAsiaTheme="minorEastAsia"/>
          <w:lang w:eastAsia="en-US"/>
        </w:rPr>
        <w:t>’</w:t>
      </w:r>
      <w:r w:rsidRPr="004C243A">
        <w:rPr>
          <w:rFonts w:eastAsiaTheme="minorEastAsia"/>
          <w:lang w:eastAsia="en-US"/>
        </w:rPr>
        <w:t xml:space="preserve"> </w:t>
      </w:r>
      <w:r w:rsidRPr="004C243A">
        <w:rPr>
          <w:rFonts w:eastAsiaTheme="minorEastAsia"/>
          <w:i/>
          <w:lang w:eastAsia="en-US"/>
        </w:rPr>
        <w:t>The Ecologist</w:t>
      </w:r>
      <w:r w:rsidR="001D2AE1" w:rsidRPr="004C243A">
        <w:rPr>
          <w:rFonts w:eastAsiaTheme="minorEastAsia"/>
          <w:i/>
          <w:lang w:eastAsia="en-US"/>
        </w:rPr>
        <w:t>,</w:t>
      </w:r>
      <w:r w:rsidRPr="004C243A">
        <w:rPr>
          <w:rFonts w:eastAsiaTheme="minorEastAsia"/>
          <w:lang w:eastAsia="en-US"/>
        </w:rPr>
        <w:t xml:space="preserve"> 30(6)</w:t>
      </w:r>
      <w:r w:rsidR="001D2AE1" w:rsidRPr="004C243A">
        <w:rPr>
          <w:rFonts w:eastAsiaTheme="minorEastAsia"/>
          <w:lang w:eastAsia="en-US"/>
        </w:rPr>
        <w:t>,</w:t>
      </w:r>
      <w:r w:rsidRPr="004C243A">
        <w:rPr>
          <w:rFonts w:eastAsiaTheme="minorEastAsia"/>
          <w:lang w:eastAsia="en-US"/>
        </w:rPr>
        <w:t xml:space="preserve"> R23-R25.  </w:t>
      </w:r>
    </w:p>
    <w:p w14:paraId="146745B7" w14:textId="3D6EFC1E" w:rsidR="00C93D8F" w:rsidRPr="004C243A" w:rsidRDefault="00C93D8F" w:rsidP="00C93D8F">
      <w:r w:rsidRPr="004C243A">
        <w:rPr>
          <w:rStyle w:val="Emphasis"/>
          <w:i w:val="0"/>
        </w:rPr>
        <w:t>Clapham</w:t>
      </w:r>
      <w:r w:rsidR="00DB6330" w:rsidRPr="004C243A">
        <w:rPr>
          <w:rStyle w:val="Emphasis"/>
          <w:i w:val="0"/>
        </w:rPr>
        <w:t>,</w:t>
      </w:r>
      <w:r w:rsidRPr="004C243A">
        <w:rPr>
          <w:rStyle w:val="Emphasis"/>
          <w:i w:val="0"/>
        </w:rPr>
        <w:t xml:space="preserve"> </w:t>
      </w:r>
      <w:r w:rsidR="00DB6330" w:rsidRPr="004C243A">
        <w:rPr>
          <w:rStyle w:val="Emphasis"/>
          <w:i w:val="0"/>
        </w:rPr>
        <w:t>Andrew (</w:t>
      </w:r>
      <w:r w:rsidRPr="004C243A">
        <w:rPr>
          <w:rStyle w:val="Emphasis"/>
          <w:i w:val="0"/>
        </w:rPr>
        <w:t>2006</w:t>
      </w:r>
      <w:r w:rsidR="00DB6330" w:rsidRPr="004C243A">
        <w:rPr>
          <w:rStyle w:val="Emphasis"/>
          <w:i w:val="0"/>
        </w:rPr>
        <w:t>)</w:t>
      </w:r>
      <w:r w:rsidRPr="004C243A">
        <w:rPr>
          <w:rStyle w:val="Emphasis"/>
        </w:rPr>
        <w:t xml:space="preserve"> Human Rights Obligations of Non-State Actors,</w:t>
      </w:r>
      <w:r w:rsidRPr="004C243A">
        <w:t xml:space="preserve"> Oxford: Oxford University Press.</w:t>
      </w:r>
    </w:p>
    <w:p w14:paraId="24420930" w14:textId="77777777" w:rsidR="00C93D8F" w:rsidRPr="004C243A" w:rsidRDefault="00C93D8F" w:rsidP="005169E8">
      <w:pPr>
        <w:pStyle w:val="NoSpacing"/>
      </w:pPr>
    </w:p>
    <w:p w14:paraId="6BC02160" w14:textId="007F0AEC" w:rsidR="005169E8" w:rsidRPr="004C243A" w:rsidRDefault="005169E8" w:rsidP="005169E8">
      <w:pPr>
        <w:pStyle w:val="NoSpacing"/>
        <w:rPr>
          <w:rFonts w:eastAsiaTheme="minorEastAsia"/>
          <w:i/>
          <w:lang w:eastAsia="en-US"/>
        </w:rPr>
      </w:pPr>
      <w:r w:rsidRPr="004C243A">
        <w:t>Clements</w:t>
      </w:r>
      <w:r w:rsidR="00DB6330" w:rsidRPr="004C243A">
        <w:t>,</w:t>
      </w:r>
      <w:r w:rsidRPr="004C243A">
        <w:t xml:space="preserve"> </w:t>
      </w:r>
      <w:r w:rsidR="00DB6330" w:rsidRPr="004C243A">
        <w:t>Paul (</w:t>
      </w:r>
      <w:r w:rsidRPr="004C243A">
        <w:t>2013</w:t>
      </w:r>
      <w:r w:rsidR="00DB6330" w:rsidRPr="004C243A">
        <w:t>)</w:t>
      </w:r>
      <w:r w:rsidRPr="004C243A">
        <w:t xml:space="preserve"> </w:t>
      </w:r>
      <w:r w:rsidR="009A7F2D" w:rsidRPr="004C243A">
        <w:t>‘</w:t>
      </w:r>
      <w:r w:rsidRPr="004C243A">
        <w:t xml:space="preserve">Multilateral Development Banks and </w:t>
      </w:r>
      <w:r w:rsidR="00DB6330" w:rsidRPr="004C243A">
        <w:t>the International Monetary Fund</w:t>
      </w:r>
      <w:r w:rsidR="009A7F2D" w:rsidRPr="004C243A">
        <w:t>’</w:t>
      </w:r>
      <w:r w:rsidRPr="004C243A">
        <w:t xml:space="preserve"> in </w:t>
      </w:r>
      <w:r w:rsidR="00DB6330" w:rsidRPr="004C243A">
        <w:rPr>
          <w:rFonts w:eastAsiaTheme="minorEastAsia"/>
          <w:lang w:eastAsia="en-US"/>
        </w:rPr>
        <w:t>John Linarelli (ed.)</w:t>
      </w:r>
      <w:r w:rsidR="00DB6330" w:rsidRPr="004C243A">
        <w:rPr>
          <w:i/>
        </w:rPr>
        <w:t xml:space="preserve"> </w:t>
      </w:r>
      <w:r w:rsidRPr="004C243A">
        <w:rPr>
          <w:i/>
        </w:rPr>
        <w:t xml:space="preserve">Research Handbook on Global Justice and International Economic Law, </w:t>
      </w:r>
      <w:r w:rsidRPr="004C243A">
        <w:t xml:space="preserve">Cheltenham, UK: </w:t>
      </w:r>
      <w:r w:rsidRPr="004C243A">
        <w:rPr>
          <w:rFonts w:eastAsiaTheme="minorEastAsia"/>
          <w:lang w:eastAsia="en-US"/>
        </w:rPr>
        <w:t>Edward Elgar</w:t>
      </w:r>
      <w:r w:rsidR="00DB6330" w:rsidRPr="004C243A">
        <w:rPr>
          <w:rFonts w:eastAsiaTheme="minorEastAsia"/>
          <w:lang w:eastAsia="en-US"/>
        </w:rPr>
        <w:t>.</w:t>
      </w:r>
    </w:p>
    <w:p w14:paraId="44CD45ED" w14:textId="77777777" w:rsidR="005169E8" w:rsidRPr="004C243A" w:rsidRDefault="005169E8" w:rsidP="000B062B">
      <w:pPr>
        <w:shd w:val="clear" w:color="auto" w:fill="FFFFFF"/>
        <w:spacing w:line="288" w:lineRule="atLeast"/>
        <w:outlineLvl w:val="0"/>
        <w:rPr>
          <w:rFonts w:eastAsia="Times New Roman"/>
          <w:bCs/>
          <w:kern w:val="36"/>
        </w:rPr>
      </w:pPr>
    </w:p>
    <w:p w14:paraId="1B6DB82D" w14:textId="07FB829A" w:rsidR="000B062B" w:rsidRPr="004C243A" w:rsidRDefault="000B062B" w:rsidP="000B062B">
      <w:pPr>
        <w:shd w:val="clear" w:color="auto" w:fill="FFFFFF"/>
        <w:spacing w:line="288" w:lineRule="atLeast"/>
        <w:outlineLvl w:val="0"/>
        <w:rPr>
          <w:rFonts w:eastAsia="Times New Roman"/>
          <w:bCs/>
          <w:kern w:val="36"/>
        </w:rPr>
      </w:pPr>
      <w:r w:rsidRPr="004C243A">
        <w:rPr>
          <w:rFonts w:eastAsia="Times New Roman"/>
          <w:bCs/>
          <w:kern w:val="36"/>
        </w:rPr>
        <w:t>Cunningham</w:t>
      </w:r>
      <w:r w:rsidR="00DB6330" w:rsidRPr="004C243A">
        <w:rPr>
          <w:rFonts w:eastAsia="Times New Roman"/>
          <w:bCs/>
          <w:kern w:val="36"/>
        </w:rPr>
        <w:t>,</w:t>
      </w:r>
      <w:r w:rsidRPr="004C243A">
        <w:rPr>
          <w:rFonts w:eastAsia="Times New Roman"/>
          <w:bCs/>
          <w:kern w:val="36"/>
        </w:rPr>
        <w:t xml:space="preserve"> </w:t>
      </w:r>
      <w:r w:rsidR="00DB6330" w:rsidRPr="004C243A">
        <w:rPr>
          <w:rFonts w:eastAsia="Times New Roman"/>
          <w:bCs/>
          <w:kern w:val="36"/>
        </w:rPr>
        <w:t xml:space="preserve">Steve </w:t>
      </w:r>
      <w:r w:rsidRPr="004C243A">
        <w:rPr>
          <w:rFonts w:eastAsia="Times New Roman"/>
          <w:bCs/>
          <w:kern w:val="36"/>
        </w:rPr>
        <w:t xml:space="preserve">and Michael Lavalette </w:t>
      </w:r>
      <w:r w:rsidR="00DB6330" w:rsidRPr="004C243A">
        <w:rPr>
          <w:rFonts w:eastAsia="Times New Roman"/>
          <w:bCs/>
          <w:kern w:val="36"/>
        </w:rPr>
        <w:t>(</w:t>
      </w:r>
      <w:r w:rsidRPr="004C243A">
        <w:rPr>
          <w:rFonts w:eastAsia="Times New Roman"/>
          <w:bCs/>
          <w:kern w:val="36"/>
        </w:rPr>
        <w:t>2014</w:t>
      </w:r>
      <w:r w:rsidR="00DB6330" w:rsidRPr="004C243A">
        <w:rPr>
          <w:rFonts w:eastAsia="Times New Roman"/>
          <w:bCs/>
          <w:kern w:val="36"/>
        </w:rPr>
        <w:t>)</w:t>
      </w:r>
      <w:r w:rsidRPr="004C243A">
        <w:rPr>
          <w:rFonts w:eastAsia="Times New Roman"/>
          <w:bCs/>
          <w:kern w:val="36"/>
        </w:rPr>
        <w:t xml:space="preserve"> </w:t>
      </w:r>
      <w:r w:rsidR="009A7F2D" w:rsidRPr="004C243A">
        <w:rPr>
          <w:rFonts w:eastAsia="Times New Roman"/>
          <w:bCs/>
          <w:kern w:val="36"/>
        </w:rPr>
        <w:t>‘</w:t>
      </w:r>
      <w:r w:rsidRPr="004C243A">
        <w:rPr>
          <w:rFonts w:eastAsia="Times New Roman"/>
          <w:bCs/>
          <w:kern w:val="36"/>
        </w:rPr>
        <w:t>Children’s Rights or Employers’ Rights,</w:t>
      </w:r>
      <w:r w:rsidR="009A7F2D" w:rsidRPr="004C243A">
        <w:rPr>
          <w:rFonts w:eastAsia="Times New Roman"/>
          <w:bCs/>
          <w:kern w:val="36"/>
        </w:rPr>
        <w:t>’</w:t>
      </w:r>
      <w:r w:rsidRPr="004C243A">
        <w:rPr>
          <w:rFonts w:eastAsia="Times New Roman"/>
          <w:bCs/>
          <w:kern w:val="36"/>
        </w:rPr>
        <w:t xml:space="preserve"> in </w:t>
      </w:r>
      <w:r w:rsidR="00DB6330" w:rsidRPr="004C243A">
        <w:rPr>
          <w:rFonts w:eastAsia="Times New Roman"/>
          <w:shd w:val="clear" w:color="auto" w:fill="FFFFFF"/>
        </w:rPr>
        <w:t>Stephen Wagg and Jane Pilcher (</w:t>
      </w:r>
      <w:r w:rsidR="00DB6330" w:rsidRPr="004C243A">
        <w:rPr>
          <w:rFonts w:eastAsia="Times New Roman"/>
          <w:bCs/>
          <w:kern w:val="36"/>
        </w:rPr>
        <w:t>eds)</w:t>
      </w:r>
      <w:r w:rsidR="00A42DB9" w:rsidRPr="004C243A">
        <w:rPr>
          <w:rFonts w:eastAsia="Times New Roman"/>
          <w:bCs/>
          <w:kern w:val="36"/>
        </w:rPr>
        <w:t>,</w:t>
      </w:r>
      <w:r w:rsidR="00DB6330" w:rsidRPr="004C243A">
        <w:rPr>
          <w:rFonts w:eastAsia="Times New Roman"/>
          <w:bCs/>
          <w:i/>
          <w:kern w:val="36"/>
        </w:rPr>
        <w:t xml:space="preserve"> </w:t>
      </w:r>
      <w:r w:rsidR="001D2AE1" w:rsidRPr="004C243A">
        <w:rPr>
          <w:rFonts w:eastAsia="Times New Roman"/>
          <w:bCs/>
          <w:i/>
          <w:kern w:val="36"/>
        </w:rPr>
        <w:t>Thatcher's Grandchildren</w:t>
      </w:r>
      <w:r w:rsidRPr="004C243A">
        <w:rPr>
          <w:rFonts w:eastAsia="Times New Roman"/>
          <w:bCs/>
          <w:i/>
          <w:kern w:val="36"/>
        </w:rPr>
        <w:t>: Politics and Childhood in the Twenty-First Century,</w:t>
      </w:r>
      <w:r w:rsidRPr="004C243A">
        <w:rPr>
          <w:rFonts w:eastAsia="Times New Roman"/>
          <w:shd w:val="clear" w:color="auto" w:fill="FFFFFF"/>
        </w:rPr>
        <w:t xml:space="preserve"> New York: Palgrave.</w:t>
      </w:r>
    </w:p>
    <w:p w14:paraId="423DBB5B" w14:textId="77777777" w:rsidR="00B76451" w:rsidRPr="004C243A" w:rsidRDefault="00B76451" w:rsidP="001D6040">
      <w:pPr>
        <w:pStyle w:val="NoSpacing"/>
        <w:rPr>
          <w:rFonts w:eastAsia="Times New Roman"/>
          <w:lang w:eastAsia="en-US"/>
        </w:rPr>
      </w:pPr>
    </w:p>
    <w:p w14:paraId="4C2D320A" w14:textId="4C8A390F" w:rsidR="001D6040" w:rsidRPr="004C243A" w:rsidRDefault="00B17E47" w:rsidP="001D6040">
      <w:pPr>
        <w:pStyle w:val="NoSpacing"/>
        <w:rPr>
          <w:rFonts w:eastAsia="Times New Roman"/>
          <w:lang w:eastAsia="en-US"/>
        </w:rPr>
      </w:pPr>
      <w:r w:rsidRPr="004C243A">
        <w:rPr>
          <w:rFonts w:eastAsia="Times New Roman"/>
          <w:lang w:eastAsia="en-US"/>
        </w:rPr>
        <w:t>Darrow</w:t>
      </w:r>
      <w:r w:rsidR="00A42DB9" w:rsidRPr="004C243A">
        <w:rPr>
          <w:rFonts w:eastAsia="Times New Roman"/>
          <w:lang w:eastAsia="en-US"/>
        </w:rPr>
        <w:t>, Mac (</w:t>
      </w:r>
      <w:r w:rsidRPr="004C243A">
        <w:rPr>
          <w:rFonts w:eastAsia="Times New Roman"/>
          <w:lang w:eastAsia="en-US"/>
        </w:rPr>
        <w:t>2006</w:t>
      </w:r>
      <w:r w:rsidR="00A42DB9" w:rsidRPr="004C243A">
        <w:rPr>
          <w:rFonts w:eastAsia="Times New Roman"/>
          <w:lang w:eastAsia="en-US"/>
        </w:rPr>
        <w:t>)</w:t>
      </w:r>
      <w:r w:rsidR="00B76451" w:rsidRPr="004C243A">
        <w:rPr>
          <w:rFonts w:eastAsia="Times New Roman"/>
          <w:lang w:eastAsia="en-US"/>
        </w:rPr>
        <w:t xml:space="preserve"> </w:t>
      </w:r>
      <w:r w:rsidR="00B76451" w:rsidRPr="004C243A">
        <w:rPr>
          <w:rFonts w:eastAsia="Times New Roman"/>
          <w:i/>
          <w:lang w:eastAsia="en-US"/>
        </w:rPr>
        <w:t>Between Light and Shadow</w:t>
      </w:r>
      <w:r w:rsidR="00A42DB9" w:rsidRPr="004C243A">
        <w:rPr>
          <w:rFonts w:eastAsia="Times New Roman"/>
          <w:i/>
          <w:lang w:eastAsia="en-US"/>
        </w:rPr>
        <w:t>,</w:t>
      </w:r>
      <w:r w:rsidR="00B76451" w:rsidRPr="004C243A">
        <w:rPr>
          <w:rFonts w:eastAsia="Times New Roman"/>
          <w:i/>
          <w:lang w:eastAsia="en-US"/>
        </w:rPr>
        <w:t xml:space="preserve"> </w:t>
      </w:r>
      <w:r w:rsidR="00B76451" w:rsidRPr="004C243A">
        <w:rPr>
          <w:rFonts w:eastAsia="Times New Roman"/>
          <w:lang w:eastAsia="en-US"/>
        </w:rPr>
        <w:t>Portland, OR: Hart Publishing.</w:t>
      </w:r>
    </w:p>
    <w:p w14:paraId="0312E86F" w14:textId="049D60F1" w:rsidR="00CB7B0A" w:rsidRPr="004C243A" w:rsidRDefault="00CB7B0A" w:rsidP="006239DF">
      <w:pPr>
        <w:rPr>
          <w:rFonts w:eastAsia="Times New Roman"/>
          <w:lang w:eastAsia="en-US"/>
        </w:rPr>
      </w:pPr>
    </w:p>
    <w:p w14:paraId="7F3FBB8E" w14:textId="402070A7" w:rsidR="002F6F14" w:rsidRPr="004C243A" w:rsidRDefault="00C00EA8" w:rsidP="00B25FED">
      <w:pPr>
        <w:pStyle w:val="NoSpacing"/>
        <w:rPr>
          <w:rFonts w:eastAsia="Times New Roman"/>
          <w:lang w:eastAsia="en-US"/>
        </w:rPr>
      </w:pPr>
      <w:r w:rsidRPr="004C243A">
        <w:rPr>
          <w:rFonts w:eastAsia="Times New Roman"/>
          <w:lang w:eastAsia="en-US"/>
        </w:rPr>
        <w:t xml:space="preserve">Fay, </w:t>
      </w:r>
      <w:r w:rsidR="0074567B" w:rsidRPr="004C243A">
        <w:rPr>
          <w:rFonts w:eastAsia="Times New Roman"/>
          <w:lang w:eastAsia="en-US"/>
        </w:rPr>
        <w:t xml:space="preserve">Marianne, </w:t>
      </w:r>
      <w:r w:rsidRPr="004C243A">
        <w:rPr>
          <w:rFonts w:eastAsia="Times New Roman"/>
          <w:lang w:eastAsia="en-US"/>
        </w:rPr>
        <w:t xml:space="preserve">Danny Leipziger, Quentin Wodon and Tito Yepes </w:t>
      </w:r>
      <w:r w:rsidR="0074567B" w:rsidRPr="004C243A">
        <w:rPr>
          <w:rFonts w:eastAsia="Times New Roman"/>
          <w:lang w:eastAsia="en-US"/>
        </w:rPr>
        <w:t>(</w:t>
      </w:r>
      <w:r w:rsidRPr="004C243A">
        <w:rPr>
          <w:rFonts w:eastAsia="Times New Roman"/>
          <w:lang w:eastAsia="en-US"/>
        </w:rPr>
        <w:t>2005</w:t>
      </w:r>
      <w:r w:rsidR="0074567B"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Achieving Child-Health-Related Millennium Development Goals: The Role of Infrastructure.</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World Development</w:t>
      </w:r>
      <w:r w:rsidR="001D2AE1" w:rsidRPr="004C243A">
        <w:rPr>
          <w:rFonts w:eastAsia="Times New Roman"/>
          <w:lang w:eastAsia="en-US"/>
        </w:rPr>
        <w:t>,</w:t>
      </w:r>
      <w:r w:rsidRPr="004C243A">
        <w:rPr>
          <w:rFonts w:eastAsia="Times New Roman"/>
          <w:lang w:eastAsia="en-US"/>
        </w:rPr>
        <w:t xml:space="preserve"> 33(8)</w:t>
      </w:r>
      <w:r w:rsidR="001D2AE1" w:rsidRPr="004C243A">
        <w:rPr>
          <w:rFonts w:eastAsia="Times New Roman"/>
          <w:lang w:eastAsia="en-US"/>
        </w:rPr>
        <w:t>,</w:t>
      </w:r>
      <w:r w:rsidRPr="004C243A">
        <w:rPr>
          <w:rFonts w:eastAsia="Times New Roman"/>
          <w:lang w:eastAsia="en-US"/>
        </w:rPr>
        <w:t xml:space="preserve"> 1267–1284.</w:t>
      </w:r>
    </w:p>
    <w:p w14:paraId="1756DC97" w14:textId="77777777" w:rsidR="00B25FED" w:rsidRPr="004C243A" w:rsidRDefault="00B25FED" w:rsidP="00B25FED">
      <w:pPr>
        <w:pStyle w:val="NoSpacing"/>
        <w:rPr>
          <w:rFonts w:eastAsia="Times New Roman"/>
          <w:lang w:eastAsia="en-US"/>
        </w:rPr>
      </w:pPr>
    </w:p>
    <w:p w14:paraId="6D94709A" w14:textId="7552B32B" w:rsidR="002F6F14" w:rsidRPr="004C243A" w:rsidRDefault="002F6F14" w:rsidP="000600DD">
      <w:pPr>
        <w:widowControl w:val="0"/>
        <w:autoSpaceDE w:val="0"/>
        <w:autoSpaceDN w:val="0"/>
        <w:adjustRightInd w:val="0"/>
        <w:spacing w:after="240"/>
        <w:rPr>
          <w:rFonts w:eastAsiaTheme="minorEastAsia"/>
          <w:lang w:eastAsia="en-US"/>
        </w:rPr>
      </w:pPr>
      <w:r w:rsidRPr="004C243A">
        <w:rPr>
          <w:rFonts w:eastAsiaTheme="minorEastAsia"/>
          <w:lang w:eastAsia="en-US"/>
        </w:rPr>
        <w:t>Frey</w:t>
      </w:r>
      <w:r w:rsidR="008B0D32" w:rsidRPr="004C243A">
        <w:rPr>
          <w:rFonts w:eastAsiaTheme="minorEastAsia"/>
          <w:lang w:eastAsia="en-US"/>
        </w:rPr>
        <w:t>,</w:t>
      </w:r>
      <w:r w:rsidRPr="004C243A">
        <w:rPr>
          <w:rFonts w:eastAsiaTheme="minorEastAsia"/>
          <w:lang w:eastAsia="en-US"/>
        </w:rPr>
        <w:t xml:space="preserve"> </w:t>
      </w:r>
      <w:r w:rsidR="008B0D32" w:rsidRPr="004C243A">
        <w:rPr>
          <w:rFonts w:eastAsiaTheme="minorEastAsia"/>
          <w:lang w:eastAsia="en-US"/>
        </w:rPr>
        <w:t xml:space="preserve">R. Scott </w:t>
      </w:r>
      <w:r w:rsidRPr="004C243A">
        <w:rPr>
          <w:rFonts w:eastAsiaTheme="minorEastAsia"/>
          <w:lang w:eastAsia="en-US"/>
        </w:rPr>
        <w:t xml:space="preserve">and Carolyn Field </w:t>
      </w:r>
      <w:r w:rsidR="008B0D32" w:rsidRPr="004C243A">
        <w:rPr>
          <w:rFonts w:eastAsiaTheme="minorEastAsia"/>
          <w:lang w:eastAsia="en-US"/>
        </w:rPr>
        <w:t>(</w:t>
      </w:r>
      <w:r w:rsidRPr="004C243A">
        <w:rPr>
          <w:rFonts w:eastAsiaTheme="minorEastAsia"/>
          <w:lang w:eastAsia="en-US"/>
        </w:rPr>
        <w:t>2000</w:t>
      </w:r>
      <w:r w:rsidR="008B0D32" w:rsidRPr="004C243A">
        <w:rPr>
          <w:rFonts w:eastAsiaTheme="minorEastAsia"/>
          <w:lang w:eastAsia="en-US"/>
        </w:rPr>
        <w:t>)</w:t>
      </w:r>
      <w:r w:rsidRPr="004C243A">
        <w:rPr>
          <w:rFonts w:eastAsiaTheme="minorEastAsia"/>
          <w:lang w:eastAsia="en-US"/>
        </w:rPr>
        <w:t xml:space="preserve"> </w:t>
      </w:r>
      <w:r w:rsidR="009A7F2D" w:rsidRPr="004C243A">
        <w:rPr>
          <w:rFonts w:eastAsiaTheme="minorEastAsia"/>
          <w:lang w:eastAsia="en-US"/>
        </w:rPr>
        <w:t>‘</w:t>
      </w:r>
      <w:r w:rsidRPr="004C243A">
        <w:rPr>
          <w:rFonts w:eastAsiaTheme="minorEastAsia"/>
          <w:lang w:eastAsia="en-US"/>
        </w:rPr>
        <w:t xml:space="preserve">The Determinants of Infant Mortality in Less Developed Countries: A Cross-national Test of Five Theories. </w:t>
      </w:r>
      <w:r w:rsidRPr="004C243A">
        <w:rPr>
          <w:rFonts w:eastAsiaTheme="minorEastAsia"/>
          <w:i/>
          <w:iCs/>
          <w:lang w:eastAsia="en-US"/>
        </w:rPr>
        <w:t>Social Indicators Research</w:t>
      </w:r>
      <w:r w:rsidRPr="004C243A">
        <w:rPr>
          <w:rFonts w:eastAsiaTheme="minorEastAsia"/>
          <w:lang w:eastAsia="en-US"/>
        </w:rPr>
        <w:t xml:space="preserve">, </w:t>
      </w:r>
      <w:r w:rsidRPr="004C243A">
        <w:rPr>
          <w:rFonts w:eastAsiaTheme="minorEastAsia"/>
          <w:iCs/>
          <w:lang w:eastAsia="en-US"/>
        </w:rPr>
        <w:t>52 (3)</w:t>
      </w:r>
      <w:r w:rsidR="001D2AE1" w:rsidRPr="004C243A">
        <w:rPr>
          <w:rFonts w:eastAsiaTheme="minorEastAsia"/>
          <w:iCs/>
          <w:lang w:eastAsia="en-US"/>
        </w:rPr>
        <w:t>,</w:t>
      </w:r>
      <w:r w:rsidR="008B0D32" w:rsidRPr="004C243A">
        <w:rPr>
          <w:rFonts w:eastAsiaTheme="minorEastAsia"/>
          <w:lang w:eastAsia="en-US"/>
        </w:rPr>
        <w:t xml:space="preserve"> 215–234.</w:t>
      </w:r>
    </w:p>
    <w:p w14:paraId="03120880" w14:textId="167E7447" w:rsidR="00BE245A" w:rsidRPr="004C243A" w:rsidRDefault="00BE245A" w:rsidP="00BE245A">
      <w:pPr>
        <w:rPr>
          <w:rFonts w:eastAsia="Times New Roman"/>
          <w:lang w:eastAsia="en-US"/>
        </w:rPr>
      </w:pPr>
      <w:r w:rsidRPr="004C243A">
        <w:rPr>
          <w:rFonts w:eastAsia="Times New Roman"/>
          <w:lang w:eastAsia="en-US"/>
        </w:rPr>
        <w:t>Gianviti</w:t>
      </w:r>
      <w:r w:rsidR="008B0D32" w:rsidRPr="004C243A">
        <w:rPr>
          <w:rFonts w:eastAsia="Times New Roman"/>
          <w:lang w:eastAsia="en-US"/>
        </w:rPr>
        <w:t>,</w:t>
      </w:r>
      <w:r w:rsidRPr="004C243A">
        <w:rPr>
          <w:rFonts w:eastAsia="Times New Roman"/>
          <w:lang w:eastAsia="en-US"/>
        </w:rPr>
        <w:t xml:space="preserve"> </w:t>
      </w:r>
      <w:r w:rsidR="008B0D32" w:rsidRPr="004C243A">
        <w:rPr>
          <w:rFonts w:eastAsia="Times New Roman"/>
          <w:lang w:eastAsia="en-US"/>
        </w:rPr>
        <w:t>François (</w:t>
      </w:r>
      <w:r w:rsidRPr="004C243A">
        <w:rPr>
          <w:rFonts w:eastAsia="Times New Roman"/>
          <w:lang w:eastAsia="en-US"/>
        </w:rPr>
        <w:t>2002</w:t>
      </w:r>
      <w:r w:rsidR="008B0D32"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Economic, Social and Cultural Rights and the International Monetary Fund</w:t>
      </w:r>
      <w:r w:rsidRPr="004C243A">
        <w:rPr>
          <w:rFonts w:eastAsia="Times New Roman"/>
          <w:lang w:eastAsia="en-US"/>
        </w:rPr>
        <w:t xml:space="preserve"> </w:t>
      </w:r>
      <w:r w:rsidR="004502EE" w:rsidRPr="004C243A">
        <w:rPr>
          <w:rFonts w:eastAsia="Times New Roman"/>
          <w:lang w:eastAsia="en-US"/>
        </w:rPr>
        <w:t xml:space="preserve">Washington DC: </w:t>
      </w:r>
      <w:r w:rsidRPr="004C243A">
        <w:rPr>
          <w:rFonts w:eastAsia="Times New Roman"/>
          <w:lang w:eastAsia="en-US"/>
        </w:rPr>
        <w:t>International Monetary Fund</w:t>
      </w:r>
      <w:r w:rsidR="004502EE" w:rsidRPr="004C243A">
        <w:rPr>
          <w:rFonts w:eastAsia="Times New Roman"/>
          <w:lang w:eastAsia="en-US"/>
        </w:rPr>
        <w:t>.</w:t>
      </w:r>
      <w:r w:rsidRPr="004C243A">
        <w:rPr>
          <w:rFonts w:eastAsia="Times New Roman"/>
          <w:lang w:eastAsia="en-US"/>
        </w:rPr>
        <w:t xml:space="preserve"> </w:t>
      </w:r>
    </w:p>
    <w:p w14:paraId="02B2090E" w14:textId="77777777" w:rsidR="00BE245A" w:rsidRPr="004C243A" w:rsidRDefault="00BE245A" w:rsidP="001D6040">
      <w:pPr>
        <w:pStyle w:val="NoSpacing"/>
        <w:rPr>
          <w:rFonts w:eastAsia="Times New Roman"/>
          <w:lang w:eastAsia="en-US"/>
        </w:rPr>
      </w:pPr>
    </w:p>
    <w:p w14:paraId="28E86850" w14:textId="15CA5EED" w:rsidR="0004684B" w:rsidRPr="004C243A" w:rsidRDefault="0004684B" w:rsidP="0004684B">
      <w:r w:rsidRPr="004C243A">
        <w:t>Hoddie</w:t>
      </w:r>
      <w:r w:rsidR="00C8740E" w:rsidRPr="004C243A">
        <w:t>,</w:t>
      </w:r>
      <w:r w:rsidRPr="004C243A">
        <w:t xml:space="preserve"> </w:t>
      </w:r>
      <w:r w:rsidR="00C8740E" w:rsidRPr="004C243A">
        <w:t xml:space="preserve">Mathew </w:t>
      </w:r>
      <w:r w:rsidRPr="004C243A">
        <w:t xml:space="preserve">and Caroline Hartzell </w:t>
      </w:r>
      <w:r w:rsidR="00C8740E" w:rsidRPr="004C243A">
        <w:t>(2014)</w:t>
      </w:r>
      <w:r w:rsidRPr="004C243A">
        <w:t xml:space="preserve"> </w:t>
      </w:r>
      <w:r w:rsidR="009A7F2D" w:rsidRPr="004C243A">
        <w:t>‘</w:t>
      </w:r>
      <w:r w:rsidRPr="004C243A">
        <w:t>Short-Term Pain, Long-Term Gain? The Effects of IMF Economic Reform Programs on Public Health Performance</w:t>
      </w:r>
      <w:r w:rsidR="00C8740E" w:rsidRPr="004C243A">
        <w:t>,</w:t>
      </w:r>
      <w:r w:rsidR="009A7F2D" w:rsidRPr="004C243A">
        <w:t>’</w:t>
      </w:r>
      <w:r w:rsidRPr="004C243A">
        <w:t xml:space="preserve"> </w:t>
      </w:r>
      <w:r w:rsidRPr="004C243A">
        <w:rPr>
          <w:i/>
        </w:rPr>
        <w:t>Social Science Quarterly</w:t>
      </w:r>
      <w:r w:rsidR="001D2AE1" w:rsidRPr="004C243A">
        <w:rPr>
          <w:i/>
        </w:rPr>
        <w:t>,</w:t>
      </w:r>
      <w:r w:rsidRPr="004C243A">
        <w:t xml:space="preserve"> 95(4)</w:t>
      </w:r>
      <w:r w:rsidR="001D2AE1" w:rsidRPr="004C243A">
        <w:t>,</w:t>
      </w:r>
      <w:r w:rsidRPr="004C243A">
        <w:t xml:space="preserve"> 1540-6237.</w:t>
      </w:r>
    </w:p>
    <w:p w14:paraId="62170A06" w14:textId="77777777" w:rsidR="0004684B" w:rsidRPr="004C243A" w:rsidRDefault="0004684B" w:rsidP="001D6040">
      <w:pPr>
        <w:pStyle w:val="NoSpacing"/>
        <w:rPr>
          <w:rFonts w:eastAsia="Times New Roman"/>
          <w:lang w:eastAsia="en-US"/>
        </w:rPr>
      </w:pPr>
    </w:p>
    <w:p w14:paraId="3EB8ADDC" w14:textId="5750538C" w:rsidR="00C00EA8" w:rsidRPr="004C243A" w:rsidRDefault="00C00EA8" w:rsidP="001D6040">
      <w:pPr>
        <w:pStyle w:val="NoSpacing"/>
        <w:rPr>
          <w:rFonts w:eastAsia="Times New Roman"/>
          <w:lang w:eastAsia="en-US"/>
        </w:rPr>
      </w:pPr>
      <w:r w:rsidRPr="004C243A">
        <w:rPr>
          <w:rFonts w:eastAsia="Times New Roman"/>
          <w:lang w:eastAsia="en-US"/>
        </w:rPr>
        <w:t xml:space="preserve">Houweling, </w:t>
      </w:r>
      <w:r w:rsidR="00B86448" w:rsidRPr="004C243A">
        <w:rPr>
          <w:rFonts w:eastAsia="Times New Roman"/>
          <w:lang w:eastAsia="en-US"/>
        </w:rPr>
        <w:t xml:space="preserve">Tanja, </w:t>
      </w:r>
      <w:r w:rsidRPr="004C243A">
        <w:rPr>
          <w:rFonts w:eastAsia="Times New Roman"/>
          <w:lang w:eastAsia="en-US"/>
        </w:rPr>
        <w:t xml:space="preserve">Anton Kunst, Caspar Looman and Johan Mackenbach </w:t>
      </w:r>
      <w:r w:rsidR="00B86448" w:rsidRPr="004C243A">
        <w:rPr>
          <w:rFonts w:eastAsia="Times New Roman"/>
          <w:lang w:eastAsia="en-US"/>
        </w:rPr>
        <w:t>(</w:t>
      </w:r>
      <w:r w:rsidRPr="004C243A">
        <w:rPr>
          <w:rFonts w:eastAsia="Times New Roman"/>
          <w:lang w:eastAsia="en-US"/>
        </w:rPr>
        <w:t>2005</w:t>
      </w:r>
      <w:r w:rsidR="00B86448"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Determinants of Under-5 Mortality among the Poor and the Rich: a Cross-national Anal</w:t>
      </w:r>
      <w:r w:rsidR="00B86448" w:rsidRPr="004C243A">
        <w:rPr>
          <w:rFonts w:eastAsia="Times New Roman"/>
          <w:lang w:eastAsia="en-US"/>
        </w:rPr>
        <w:t>ysis of 43 Developing Countries</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International Journal of Epidemiology</w:t>
      </w:r>
      <w:r w:rsidR="001D2AE1" w:rsidRPr="004C243A">
        <w:rPr>
          <w:rFonts w:eastAsia="Times New Roman"/>
          <w:i/>
          <w:lang w:eastAsia="en-US"/>
        </w:rPr>
        <w:t>,</w:t>
      </w:r>
      <w:r w:rsidRPr="004C243A">
        <w:rPr>
          <w:rFonts w:eastAsia="Times New Roman"/>
          <w:lang w:eastAsia="en-US"/>
        </w:rPr>
        <w:t xml:space="preserve"> 34</w:t>
      </w:r>
      <w:r w:rsidR="001D2AE1" w:rsidRPr="004C243A">
        <w:rPr>
          <w:rFonts w:eastAsia="Times New Roman"/>
          <w:lang w:eastAsia="en-US"/>
        </w:rPr>
        <w:t>,</w:t>
      </w:r>
      <w:r w:rsidRPr="004C243A">
        <w:rPr>
          <w:rFonts w:eastAsia="Times New Roman"/>
          <w:lang w:eastAsia="en-US"/>
        </w:rPr>
        <w:t>1257–1265.</w:t>
      </w:r>
    </w:p>
    <w:p w14:paraId="4DF2A9DC" w14:textId="77777777" w:rsidR="00C00EA8" w:rsidRPr="004C243A" w:rsidRDefault="00C00EA8" w:rsidP="001D6040">
      <w:pPr>
        <w:pStyle w:val="NoSpacing"/>
        <w:rPr>
          <w:rStyle w:val="authors"/>
          <w:rFonts w:eastAsia="Times New Roman"/>
        </w:rPr>
      </w:pPr>
    </w:p>
    <w:p w14:paraId="5D014361" w14:textId="43342654" w:rsidR="002F6F14" w:rsidRPr="004C243A" w:rsidRDefault="002F6F14" w:rsidP="002F6F14">
      <w:pPr>
        <w:rPr>
          <w:rFonts w:eastAsia="Times New Roman"/>
          <w:lang w:eastAsia="en-US"/>
        </w:rPr>
      </w:pPr>
      <w:r w:rsidRPr="004C243A">
        <w:rPr>
          <w:rFonts w:eastAsia="Times New Roman"/>
          <w:lang w:eastAsia="en-US"/>
        </w:rPr>
        <w:t>Jorgenson</w:t>
      </w:r>
      <w:r w:rsidR="00B86448" w:rsidRPr="004C243A">
        <w:rPr>
          <w:rFonts w:eastAsia="Times New Roman"/>
          <w:lang w:eastAsia="en-US"/>
        </w:rPr>
        <w:t>,</w:t>
      </w:r>
      <w:r w:rsidRPr="004C243A">
        <w:rPr>
          <w:rFonts w:eastAsia="Times New Roman"/>
          <w:lang w:eastAsia="en-US"/>
        </w:rPr>
        <w:t xml:space="preserve"> </w:t>
      </w:r>
      <w:r w:rsidR="00B86448" w:rsidRPr="004C243A">
        <w:rPr>
          <w:rFonts w:eastAsia="Times New Roman"/>
          <w:lang w:eastAsia="en-US"/>
        </w:rPr>
        <w:t xml:space="preserve">Andrew </w:t>
      </w:r>
      <w:r w:rsidRPr="004C243A">
        <w:rPr>
          <w:rFonts w:eastAsia="Times New Roman"/>
          <w:lang w:eastAsia="en-US"/>
        </w:rPr>
        <w:t xml:space="preserve">and James Rice </w:t>
      </w:r>
      <w:r w:rsidR="00B86448" w:rsidRPr="004C243A">
        <w:rPr>
          <w:rFonts w:eastAsia="Times New Roman"/>
          <w:lang w:eastAsia="en-US"/>
        </w:rPr>
        <w:t>(</w:t>
      </w:r>
      <w:r w:rsidRPr="004C243A">
        <w:rPr>
          <w:rFonts w:eastAsia="Times New Roman"/>
          <w:lang w:eastAsia="en-US"/>
        </w:rPr>
        <w:t>2010</w:t>
      </w:r>
      <w:r w:rsidR="00B86448"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Urban Slum Growth and Human Health: a Panel Study of Infant and Child Mortality in Less-developed Countries, 1990–2005</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Journal of Poverty</w:t>
      </w:r>
      <w:r w:rsidR="001D2AE1" w:rsidRPr="004C243A">
        <w:rPr>
          <w:rFonts w:eastAsia="Times New Roman"/>
          <w:i/>
          <w:lang w:eastAsia="en-US"/>
        </w:rPr>
        <w:t>,</w:t>
      </w:r>
      <w:r w:rsidRPr="004C243A">
        <w:rPr>
          <w:rFonts w:eastAsia="Times New Roman"/>
          <w:lang w:eastAsia="en-US"/>
        </w:rPr>
        <w:t xml:space="preserve"> 14(4)</w:t>
      </w:r>
      <w:r w:rsidR="001D2AE1" w:rsidRPr="004C243A">
        <w:rPr>
          <w:rFonts w:eastAsia="Times New Roman"/>
          <w:lang w:eastAsia="en-US"/>
        </w:rPr>
        <w:t>,</w:t>
      </w:r>
      <w:r w:rsidRPr="004C243A">
        <w:rPr>
          <w:rFonts w:eastAsia="Times New Roman"/>
          <w:lang w:eastAsia="en-US"/>
        </w:rPr>
        <w:t xml:space="preserve"> 382–402.</w:t>
      </w:r>
    </w:p>
    <w:p w14:paraId="3E4E4D89" w14:textId="77777777" w:rsidR="002F6F14" w:rsidRPr="004C243A" w:rsidRDefault="002F6F14" w:rsidP="001D6040">
      <w:pPr>
        <w:pStyle w:val="NoSpacing"/>
        <w:rPr>
          <w:rStyle w:val="authors"/>
          <w:rFonts w:eastAsia="Times New Roman"/>
        </w:rPr>
      </w:pPr>
    </w:p>
    <w:p w14:paraId="28D064AB" w14:textId="57515DBF" w:rsidR="006B7D0D" w:rsidRPr="004C243A" w:rsidRDefault="006B7D0D" w:rsidP="006B7D0D">
      <w:pPr>
        <w:rPr>
          <w:rFonts w:eastAsia="Times New Roman"/>
          <w:lang w:eastAsia="en-US"/>
        </w:rPr>
      </w:pPr>
      <w:r w:rsidRPr="004C243A">
        <w:rPr>
          <w:rFonts w:eastAsia="Times New Roman"/>
          <w:lang w:eastAsia="en-US"/>
        </w:rPr>
        <w:t>Kaja</w:t>
      </w:r>
      <w:r w:rsidR="00B86448" w:rsidRPr="004C243A">
        <w:rPr>
          <w:rFonts w:eastAsia="Times New Roman"/>
          <w:lang w:eastAsia="en-US"/>
        </w:rPr>
        <w:t>,</w:t>
      </w:r>
      <w:r w:rsidR="005D6FD7" w:rsidRPr="004C243A">
        <w:rPr>
          <w:rFonts w:eastAsia="Times New Roman"/>
          <w:lang w:eastAsia="en-US"/>
        </w:rPr>
        <w:t xml:space="preserve"> </w:t>
      </w:r>
      <w:r w:rsidR="00B86448" w:rsidRPr="004C243A">
        <w:rPr>
          <w:rFonts w:eastAsia="Times New Roman"/>
          <w:lang w:eastAsia="en-US"/>
        </w:rPr>
        <w:t xml:space="preserve">Ashwin </w:t>
      </w:r>
      <w:r w:rsidRPr="004C243A">
        <w:rPr>
          <w:rFonts w:eastAsia="Times New Roman"/>
          <w:lang w:eastAsia="en-US"/>
        </w:rPr>
        <w:t xml:space="preserve">and Eric Werker </w:t>
      </w:r>
      <w:r w:rsidR="00B86448" w:rsidRPr="004C243A">
        <w:rPr>
          <w:rFonts w:eastAsia="Times New Roman"/>
          <w:lang w:eastAsia="en-US"/>
        </w:rPr>
        <w:t>(</w:t>
      </w:r>
      <w:r w:rsidRPr="004C243A">
        <w:rPr>
          <w:rFonts w:eastAsia="Times New Roman"/>
          <w:lang w:eastAsia="en-US"/>
        </w:rPr>
        <w:t>2010</w:t>
      </w:r>
      <w:r w:rsidR="00B86448"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Corporate Governance at the World Bank and t</w:t>
      </w:r>
      <w:r w:rsidR="00B86448" w:rsidRPr="004C243A">
        <w:rPr>
          <w:rFonts w:eastAsia="Times New Roman"/>
          <w:lang w:eastAsia="en-US"/>
        </w:rPr>
        <w:t>he Dilemma of Global Governance</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World Bank Economic Review</w:t>
      </w:r>
      <w:r w:rsidR="001D2AE1" w:rsidRPr="004C243A">
        <w:rPr>
          <w:rFonts w:eastAsia="Times New Roman"/>
          <w:i/>
          <w:lang w:eastAsia="en-US"/>
        </w:rPr>
        <w:t>,</w:t>
      </w:r>
      <w:r w:rsidRPr="004C243A">
        <w:rPr>
          <w:rFonts w:eastAsia="Times New Roman"/>
          <w:lang w:eastAsia="en-US"/>
        </w:rPr>
        <w:t xml:space="preserve"> 24(2)</w:t>
      </w:r>
      <w:r w:rsidR="001D2AE1" w:rsidRPr="004C243A">
        <w:rPr>
          <w:rFonts w:eastAsia="Times New Roman"/>
          <w:lang w:eastAsia="en-US"/>
        </w:rPr>
        <w:t>,</w:t>
      </w:r>
      <w:r w:rsidRPr="004C243A">
        <w:rPr>
          <w:rFonts w:eastAsia="Times New Roman"/>
          <w:lang w:eastAsia="en-US"/>
        </w:rPr>
        <w:t xml:space="preserve"> 171–198.</w:t>
      </w:r>
    </w:p>
    <w:p w14:paraId="5DB2C92A" w14:textId="77777777" w:rsidR="006B7D0D" w:rsidRPr="004C243A" w:rsidRDefault="006B7D0D" w:rsidP="006B7D0D">
      <w:pPr>
        <w:rPr>
          <w:rFonts w:eastAsia="Times New Roman"/>
          <w:lang w:eastAsia="en-US"/>
        </w:rPr>
      </w:pPr>
    </w:p>
    <w:p w14:paraId="4DE7A449" w14:textId="5DED94A7" w:rsidR="00517C42" w:rsidRPr="004C243A" w:rsidRDefault="00517C42" w:rsidP="001D6040">
      <w:pPr>
        <w:pStyle w:val="NoSpacing"/>
      </w:pPr>
      <w:r w:rsidRPr="004C243A">
        <w:rPr>
          <w:rStyle w:val="authors"/>
          <w:rFonts w:eastAsia="Times New Roman"/>
        </w:rPr>
        <w:t>Kalemli-Ozcan</w:t>
      </w:r>
      <w:r w:rsidR="00B86448" w:rsidRPr="004C243A">
        <w:rPr>
          <w:rStyle w:val="authors"/>
          <w:rFonts w:eastAsia="Times New Roman"/>
        </w:rPr>
        <w:t>, Sebnem (</w:t>
      </w:r>
      <w:r w:rsidRPr="004C243A">
        <w:rPr>
          <w:rStyle w:val="authors"/>
          <w:rFonts w:eastAsia="Times New Roman"/>
        </w:rPr>
        <w:t>2002</w:t>
      </w:r>
      <w:r w:rsidR="00B86448" w:rsidRPr="004C243A">
        <w:rPr>
          <w:rStyle w:val="authors"/>
          <w:rFonts w:eastAsia="Times New Roman"/>
        </w:rPr>
        <w:t>)</w:t>
      </w:r>
      <w:r w:rsidRPr="004C243A">
        <w:rPr>
          <w:rStyle w:val="authors"/>
          <w:rFonts w:eastAsia="Times New Roman"/>
        </w:rPr>
        <w:t xml:space="preserve"> </w:t>
      </w:r>
      <w:r w:rsidR="009A7F2D" w:rsidRPr="004C243A">
        <w:rPr>
          <w:rStyle w:val="authors"/>
          <w:rFonts w:eastAsia="Times New Roman"/>
        </w:rPr>
        <w:t>‘</w:t>
      </w:r>
      <w:r w:rsidRPr="004C243A">
        <w:rPr>
          <w:rFonts w:eastAsia="Times New Roman"/>
          <w:bCs/>
        </w:rPr>
        <w:t>Does the Mortality Decline Promote Economic Growth?</w:t>
      </w:r>
      <w:r w:rsidR="009A7F2D" w:rsidRPr="004C243A">
        <w:rPr>
          <w:rFonts w:eastAsia="Times New Roman"/>
          <w:bCs/>
        </w:rPr>
        <w:t>’</w:t>
      </w:r>
      <w:r w:rsidRPr="004C243A">
        <w:t xml:space="preserve"> </w:t>
      </w:r>
      <w:r w:rsidRPr="004C243A">
        <w:rPr>
          <w:i/>
        </w:rPr>
        <w:t>Journal of Economic Growth</w:t>
      </w:r>
      <w:r w:rsidR="001D2AE1" w:rsidRPr="004C243A">
        <w:rPr>
          <w:i/>
        </w:rPr>
        <w:t>,</w:t>
      </w:r>
      <w:r w:rsidRPr="004C243A">
        <w:t xml:space="preserve"> 7(4)</w:t>
      </w:r>
      <w:r w:rsidR="001D2AE1" w:rsidRPr="004C243A">
        <w:t>,</w:t>
      </w:r>
      <w:r w:rsidRPr="004C243A">
        <w:t xml:space="preserve"> 411-439.</w:t>
      </w:r>
    </w:p>
    <w:p w14:paraId="1A681E68" w14:textId="77777777" w:rsidR="00517C42" w:rsidRPr="004C243A" w:rsidRDefault="00517C42" w:rsidP="001D6040">
      <w:pPr>
        <w:pStyle w:val="NoSpacing"/>
        <w:rPr>
          <w:lang w:eastAsia="en-US"/>
        </w:rPr>
      </w:pPr>
    </w:p>
    <w:p w14:paraId="29015A53" w14:textId="543A0DA4" w:rsidR="00403669" w:rsidRPr="004C243A" w:rsidRDefault="00403669" w:rsidP="001D6040">
      <w:pPr>
        <w:pStyle w:val="NoSpacing"/>
        <w:rPr>
          <w:rFonts w:eastAsia="Times New Roman"/>
          <w:i/>
          <w:lang w:eastAsia="en-US"/>
        </w:rPr>
      </w:pPr>
      <w:r w:rsidRPr="004C243A">
        <w:rPr>
          <w:rFonts w:eastAsia="Times New Roman"/>
          <w:lang w:eastAsia="en-US"/>
        </w:rPr>
        <w:t xml:space="preserve">Kirigial, </w:t>
      </w:r>
      <w:r w:rsidR="00B86448" w:rsidRPr="004C243A">
        <w:rPr>
          <w:rFonts w:eastAsia="Times New Roman"/>
          <w:lang w:eastAsia="en-US"/>
        </w:rPr>
        <w:t xml:space="preserve">Joses, </w:t>
      </w:r>
      <w:r w:rsidRPr="004C243A">
        <w:rPr>
          <w:rFonts w:eastAsia="Times New Roman"/>
          <w:lang w:eastAsia="en-US"/>
        </w:rPr>
        <w:t xml:space="preserve">Rosenabi Karimi Muthuri, Juliet Nabyonga-Orem and Doris Gatwiri Kirigia </w:t>
      </w:r>
      <w:r w:rsidR="00B86448" w:rsidRPr="004C243A">
        <w:rPr>
          <w:rFonts w:eastAsia="Times New Roman"/>
          <w:lang w:eastAsia="en-US"/>
        </w:rPr>
        <w:t>(</w:t>
      </w:r>
      <w:r w:rsidRPr="004C243A">
        <w:rPr>
          <w:rFonts w:eastAsia="Times New Roman"/>
          <w:lang w:eastAsia="en-US"/>
        </w:rPr>
        <w:t>2015</w:t>
      </w:r>
      <w:r w:rsidR="00B86448"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Counting the Cost of Child Mortality in the World Hea</w:t>
      </w:r>
      <w:r w:rsidR="00B86448" w:rsidRPr="004C243A">
        <w:rPr>
          <w:rFonts w:eastAsia="Times New Roman"/>
          <w:lang w:eastAsia="en-US"/>
        </w:rPr>
        <w:t>lth Organization African Region</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BMC Public Health</w:t>
      </w:r>
      <w:r w:rsidR="001D2AE1" w:rsidRPr="004C243A">
        <w:rPr>
          <w:rFonts w:eastAsia="Times New Roman"/>
          <w:i/>
          <w:lang w:eastAsia="en-US"/>
        </w:rPr>
        <w:t>,</w:t>
      </w:r>
      <w:r w:rsidR="00B86448" w:rsidRPr="004C243A">
        <w:rPr>
          <w:rFonts w:eastAsia="Times New Roman"/>
          <w:i/>
          <w:lang w:eastAsia="en-US"/>
        </w:rPr>
        <w:t xml:space="preserve"> </w:t>
      </w:r>
      <w:r w:rsidRPr="004C243A">
        <w:rPr>
          <w:lang w:eastAsia="en-US"/>
        </w:rPr>
        <w:t>15(3)</w:t>
      </w:r>
      <w:r w:rsidR="001D2AE1" w:rsidRPr="004C243A">
        <w:rPr>
          <w:lang w:eastAsia="en-US"/>
        </w:rPr>
        <w:t>,</w:t>
      </w:r>
      <w:r w:rsidRPr="004C243A">
        <w:rPr>
          <w:lang w:eastAsia="en-US"/>
        </w:rPr>
        <w:t xml:space="preserve"> 1103-1116.</w:t>
      </w:r>
    </w:p>
    <w:p w14:paraId="66DD255F" w14:textId="77777777" w:rsidR="004B5322" w:rsidRPr="004C243A" w:rsidRDefault="004B5322" w:rsidP="001D6040">
      <w:pPr>
        <w:pStyle w:val="NoSpacing"/>
      </w:pPr>
    </w:p>
    <w:p w14:paraId="7AC89502" w14:textId="0538E643" w:rsidR="002622FB" w:rsidRPr="004C243A" w:rsidRDefault="002622FB" w:rsidP="001D6040">
      <w:pPr>
        <w:pStyle w:val="NoSpacing"/>
        <w:rPr>
          <w:rFonts w:eastAsia="Times New Roman"/>
          <w:lang w:eastAsia="en-US"/>
        </w:rPr>
      </w:pPr>
      <w:r w:rsidRPr="004C243A">
        <w:rPr>
          <w:rFonts w:eastAsia="Times New Roman"/>
          <w:lang w:eastAsia="en-US"/>
        </w:rPr>
        <w:t>Kudamatsu</w:t>
      </w:r>
      <w:r w:rsidR="00B86448" w:rsidRPr="004C243A">
        <w:rPr>
          <w:rFonts w:eastAsia="Times New Roman"/>
          <w:lang w:eastAsia="en-US"/>
        </w:rPr>
        <w:t>,</w:t>
      </w:r>
      <w:r w:rsidRPr="004C243A">
        <w:rPr>
          <w:rFonts w:eastAsia="Times New Roman"/>
          <w:lang w:eastAsia="en-US"/>
        </w:rPr>
        <w:t xml:space="preserve"> </w:t>
      </w:r>
      <w:r w:rsidR="00B86448" w:rsidRPr="004C243A">
        <w:rPr>
          <w:rFonts w:eastAsia="Times New Roman"/>
          <w:lang w:eastAsia="en-US"/>
        </w:rPr>
        <w:t>Masayuki (</w:t>
      </w:r>
      <w:r w:rsidRPr="004C243A">
        <w:rPr>
          <w:rFonts w:eastAsia="Times New Roman"/>
          <w:lang w:eastAsia="en-US"/>
        </w:rPr>
        <w:t>2007</w:t>
      </w:r>
      <w:r w:rsidR="00B86448"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Has Democratization Reduced Infant Mortality in Sub-Saharan Af</w:t>
      </w:r>
      <w:r w:rsidR="001B4EC0" w:rsidRPr="004C243A">
        <w:rPr>
          <w:rFonts w:eastAsia="Times New Roman"/>
          <w:i/>
          <w:lang w:eastAsia="en-US"/>
        </w:rPr>
        <w:t>rica? Evidence from Micro Data</w:t>
      </w:r>
      <w:r w:rsidR="001B4EC0" w:rsidRPr="004C243A">
        <w:rPr>
          <w:rFonts w:eastAsia="Times New Roman"/>
          <w:lang w:eastAsia="en-US"/>
        </w:rPr>
        <w:t>.</w:t>
      </w:r>
      <w:r w:rsidRPr="004C243A">
        <w:rPr>
          <w:rFonts w:eastAsia="Times New Roman"/>
          <w:lang w:eastAsia="en-US"/>
        </w:rPr>
        <w:t xml:space="preserve"> ISER Discussion Paper, Institute of Social and Economic Research, Osaka University, No. 685 </w:t>
      </w:r>
      <w:r w:rsidR="00B86448" w:rsidRPr="004C243A">
        <w:rPr>
          <w:rFonts w:eastAsia="Times New Roman"/>
          <w:lang w:eastAsia="en-US"/>
        </w:rPr>
        <w:t>accessed 4 January 2016 at</w:t>
      </w:r>
      <w:r w:rsidR="00657AD9" w:rsidRPr="004C243A">
        <w:rPr>
          <w:rFonts w:eastAsia="Times New Roman"/>
          <w:lang w:eastAsia="en-US"/>
        </w:rPr>
        <w:t xml:space="preserve"> </w:t>
      </w:r>
      <w:r w:rsidRPr="004C243A">
        <w:rPr>
          <w:rFonts w:eastAsia="Times New Roman"/>
          <w:lang w:eastAsia="en-US"/>
        </w:rPr>
        <w:t>www.econstor.eu/bitstream/10419/92566/1/537563822.pdf</w:t>
      </w:r>
    </w:p>
    <w:p w14:paraId="0E234988" w14:textId="77777777" w:rsidR="002622FB" w:rsidRPr="004C243A" w:rsidRDefault="002622FB" w:rsidP="001D6040">
      <w:pPr>
        <w:pStyle w:val="NoSpacing"/>
        <w:rPr>
          <w:lang w:eastAsia="en-US"/>
        </w:rPr>
      </w:pPr>
    </w:p>
    <w:p w14:paraId="7CE59141" w14:textId="4BF32EB5" w:rsidR="001D6040" w:rsidRPr="004C243A" w:rsidRDefault="00B25FED" w:rsidP="005D6FD7">
      <w:pPr>
        <w:widowControl w:val="0"/>
        <w:tabs>
          <w:tab w:val="left" w:pos="220"/>
          <w:tab w:val="left" w:pos="720"/>
        </w:tabs>
        <w:autoSpaceDE w:val="0"/>
        <w:autoSpaceDN w:val="0"/>
        <w:adjustRightInd w:val="0"/>
        <w:spacing w:after="240"/>
        <w:rPr>
          <w:rFonts w:eastAsiaTheme="minorEastAsia"/>
          <w:lang w:eastAsia="en-US"/>
        </w:rPr>
      </w:pPr>
      <w:r w:rsidRPr="004C243A">
        <w:rPr>
          <w:rFonts w:eastAsiaTheme="minorEastAsia"/>
          <w:lang w:eastAsia="en-US"/>
        </w:rPr>
        <w:t>Lundberg</w:t>
      </w:r>
      <w:r w:rsidR="00657AD9" w:rsidRPr="004C243A">
        <w:rPr>
          <w:rFonts w:eastAsiaTheme="minorEastAsia"/>
          <w:lang w:eastAsia="en-US"/>
        </w:rPr>
        <w:t>,</w:t>
      </w:r>
      <w:r w:rsidRPr="004C243A">
        <w:rPr>
          <w:rFonts w:eastAsiaTheme="minorEastAsia"/>
          <w:lang w:eastAsia="en-US"/>
        </w:rPr>
        <w:t xml:space="preserve"> </w:t>
      </w:r>
      <w:r w:rsidR="00657AD9" w:rsidRPr="004C243A">
        <w:rPr>
          <w:rFonts w:eastAsiaTheme="minorEastAsia"/>
          <w:lang w:eastAsia="en-US"/>
        </w:rPr>
        <w:t xml:space="preserve">Mattias </w:t>
      </w:r>
      <w:r w:rsidRPr="004C243A">
        <w:rPr>
          <w:rFonts w:eastAsiaTheme="minorEastAsia"/>
          <w:lang w:eastAsia="en-US"/>
        </w:rPr>
        <w:t>and Lyn Squire</w:t>
      </w:r>
      <w:r w:rsidR="00657AD9" w:rsidRPr="004C243A">
        <w:rPr>
          <w:rFonts w:eastAsiaTheme="minorEastAsia"/>
          <w:lang w:eastAsia="en-US"/>
        </w:rPr>
        <w:t xml:space="preserve"> (</w:t>
      </w:r>
      <w:r w:rsidRPr="004C243A">
        <w:rPr>
          <w:rFonts w:eastAsiaTheme="minorEastAsia"/>
          <w:lang w:eastAsia="en-US"/>
        </w:rPr>
        <w:t>2003</w:t>
      </w:r>
      <w:r w:rsidR="00657AD9" w:rsidRPr="004C243A">
        <w:rPr>
          <w:rFonts w:eastAsiaTheme="minorEastAsia"/>
          <w:lang w:eastAsia="en-US"/>
        </w:rPr>
        <w:t>)</w:t>
      </w:r>
      <w:r w:rsidRPr="004C243A">
        <w:rPr>
          <w:rFonts w:eastAsiaTheme="minorEastAsia"/>
          <w:lang w:eastAsia="en-US"/>
        </w:rPr>
        <w:t xml:space="preserve"> </w:t>
      </w:r>
      <w:r w:rsidR="009A7F2D" w:rsidRPr="004C243A">
        <w:rPr>
          <w:rFonts w:eastAsiaTheme="minorEastAsia"/>
          <w:lang w:eastAsia="en-US"/>
        </w:rPr>
        <w:t>‘</w:t>
      </w:r>
      <w:r w:rsidRPr="004C243A">
        <w:rPr>
          <w:rFonts w:eastAsiaTheme="minorEastAsia"/>
          <w:lang w:eastAsia="en-US"/>
        </w:rPr>
        <w:t>The Simultaneous Evo</w:t>
      </w:r>
      <w:r w:rsidR="00657AD9" w:rsidRPr="004C243A">
        <w:rPr>
          <w:rFonts w:eastAsiaTheme="minorEastAsia"/>
          <w:lang w:eastAsia="en-US"/>
        </w:rPr>
        <w:t>lution of Growth and Inequality</w:t>
      </w:r>
      <w:r w:rsidR="009A7F2D" w:rsidRPr="004C243A">
        <w:rPr>
          <w:rFonts w:eastAsiaTheme="minorEastAsia"/>
          <w:lang w:eastAsia="en-US"/>
        </w:rPr>
        <w:t>’</w:t>
      </w:r>
      <w:r w:rsidRPr="004C243A">
        <w:rPr>
          <w:rFonts w:eastAsiaTheme="minorEastAsia"/>
          <w:lang w:eastAsia="en-US"/>
        </w:rPr>
        <w:t xml:space="preserve"> </w:t>
      </w:r>
      <w:r w:rsidRPr="004C243A">
        <w:rPr>
          <w:rFonts w:eastAsiaTheme="minorEastAsia"/>
          <w:i/>
          <w:lang w:eastAsia="en-US"/>
        </w:rPr>
        <w:t>Economic Journal</w:t>
      </w:r>
      <w:r w:rsidRPr="004C243A">
        <w:rPr>
          <w:rFonts w:eastAsiaTheme="minorEastAsia"/>
          <w:lang w:eastAsia="en-US"/>
        </w:rPr>
        <w:t xml:space="preserve"> 113(487): 326-344.  </w:t>
      </w:r>
    </w:p>
    <w:p w14:paraId="52932E65" w14:textId="075E9BFC" w:rsidR="00C00EA8" w:rsidRPr="004C243A" w:rsidRDefault="001D6040" w:rsidP="001D6040">
      <w:pPr>
        <w:pStyle w:val="NoSpacing"/>
        <w:rPr>
          <w:lang w:eastAsia="en-US"/>
        </w:rPr>
      </w:pPr>
      <w:r w:rsidRPr="004C243A">
        <w:rPr>
          <w:lang w:eastAsia="en-US"/>
        </w:rPr>
        <w:t>McGuire</w:t>
      </w:r>
      <w:r w:rsidR="00657AD9" w:rsidRPr="004C243A">
        <w:rPr>
          <w:lang w:eastAsia="en-US"/>
        </w:rPr>
        <w:t>, James (</w:t>
      </w:r>
      <w:r w:rsidRPr="004C243A">
        <w:rPr>
          <w:lang w:eastAsia="en-US"/>
        </w:rPr>
        <w:t>2006</w:t>
      </w:r>
      <w:r w:rsidR="00657AD9" w:rsidRPr="004C243A">
        <w:rPr>
          <w:lang w:eastAsia="en-US"/>
        </w:rPr>
        <w:t>)</w:t>
      </w:r>
      <w:r w:rsidR="00C00EA8" w:rsidRPr="004C243A">
        <w:rPr>
          <w:lang w:eastAsia="en-US"/>
        </w:rPr>
        <w:t xml:space="preserve"> </w:t>
      </w:r>
      <w:r w:rsidR="009A7F2D" w:rsidRPr="004C243A">
        <w:rPr>
          <w:lang w:eastAsia="en-US"/>
        </w:rPr>
        <w:t>‘</w:t>
      </w:r>
      <w:r w:rsidR="00C00EA8" w:rsidRPr="004C243A">
        <w:rPr>
          <w:lang w:eastAsia="en-US"/>
        </w:rPr>
        <w:t>Basic Health Care Provision and Under Five Mortality: A cross-Nationa</w:t>
      </w:r>
      <w:r w:rsidR="00657AD9" w:rsidRPr="004C243A">
        <w:rPr>
          <w:lang w:eastAsia="en-US"/>
        </w:rPr>
        <w:t>l Study of Developing Countries</w:t>
      </w:r>
      <w:r w:rsidR="009A7F2D" w:rsidRPr="004C243A">
        <w:rPr>
          <w:lang w:eastAsia="en-US"/>
        </w:rPr>
        <w:t>’</w:t>
      </w:r>
      <w:r w:rsidR="00C00EA8" w:rsidRPr="004C243A">
        <w:rPr>
          <w:lang w:eastAsia="en-US"/>
        </w:rPr>
        <w:t xml:space="preserve"> </w:t>
      </w:r>
      <w:r w:rsidR="00C00EA8" w:rsidRPr="004C243A">
        <w:rPr>
          <w:i/>
          <w:iCs/>
          <w:lang w:eastAsia="en-US"/>
        </w:rPr>
        <w:t>World Development</w:t>
      </w:r>
      <w:r w:rsidR="001D2AE1" w:rsidRPr="004C243A">
        <w:rPr>
          <w:i/>
          <w:iCs/>
          <w:lang w:eastAsia="en-US"/>
        </w:rPr>
        <w:t>,</w:t>
      </w:r>
      <w:r w:rsidR="00C00EA8" w:rsidRPr="004C243A">
        <w:rPr>
          <w:lang w:eastAsia="en-US"/>
        </w:rPr>
        <w:t xml:space="preserve"> </w:t>
      </w:r>
      <w:r w:rsidR="00C00EA8" w:rsidRPr="004C243A">
        <w:rPr>
          <w:iCs/>
          <w:lang w:eastAsia="en-US"/>
        </w:rPr>
        <w:t>34</w:t>
      </w:r>
      <w:r w:rsidR="001D2AE1" w:rsidRPr="004C243A">
        <w:rPr>
          <w:lang w:eastAsia="en-US"/>
        </w:rPr>
        <w:t>,</w:t>
      </w:r>
      <w:r w:rsidR="00C00EA8" w:rsidRPr="004C243A">
        <w:rPr>
          <w:lang w:eastAsia="en-US"/>
        </w:rPr>
        <w:t xml:space="preserve"> 405-425. </w:t>
      </w:r>
    </w:p>
    <w:p w14:paraId="4CE673A3" w14:textId="77777777" w:rsidR="00C00EA8" w:rsidRPr="004C243A" w:rsidRDefault="00C00EA8" w:rsidP="001D6040">
      <w:pPr>
        <w:pStyle w:val="NoSpacing"/>
        <w:rPr>
          <w:rFonts w:eastAsia="Times New Roman"/>
          <w:shd w:val="clear" w:color="auto" w:fill="FFFFFF"/>
          <w:lang w:eastAsia="en-US"/>
        </w:rPr>
      </w:pPr>
    </w:p>
    <w:p w14:paraId="2DCD7EBC" w14:textId="6F072EEA" w:rsidR="00CF4DFD" w:rsidRPr="004C243A" w:rsidRDefault="00CF4DFD" w:rsidP="00CF4DFD">
      <w:pPr>
        <w:rPr>
          <w:rFonts w:eastAsia="Times New Roman"/>
          <w:lang w:eastAsia="en-US"/>
        </w:rPr>
      </w:pPr>
      <w:r w:rsidRPr="004C243A">
        <w:rPr>
          <w:rFonts w:eastAsia="Times New Roman"/>
          <w:lang w:eastAsia="en-US"/>
        </w:rPr>
        <w:t>Mehrotra</w:t>
      </w:r>
      <w:r w:rsidR="00657AD9" w:rsidRPr="004C243A">
        <w:rPr>
          <w:rFonts w:eastAsia="Times New Roman"/>
          <w:lang w:eastAsia="en-US"/>
        </w:rPr>
        <w:t>,</w:t>
      </w:r>
      <w:r w:rsidRPr="004C243A">
        <w:rPr>
          <w:rFonts w:eastAsia="Times New Roman"/>
          <w:lang w:eastAsia="en-US"/>
        </w:rPr>
        <w:t xml:space="preserve"> </w:t>
      </w:r>
      <w:r w:rsidR="00657AD9" w:rsidRPr="004C243A">
        <w:rPr>
          <w:rFonts w:eastAsia="Times New Roman"/>
          <w:lang w:eastAsia="en-US"/>
        </w:rPr>
        <w:t xml:space="preserve">Santosh </w:t>
      </w:r>
      <w:r w:rsidRPr="004C243A">
        <w:rPr>
          <w:rFonts w:eastAsia="Times New Roman"/>
          <w:lang w:eastAsia="en-US"/>
        </w:rPr>
        <w:t>and Enrique Delamonic</w:t>
      </w:r>
      <w:r w:rsidR="00657AD9" w:rsidRPr="004C243A">
        <w:rPr>
          <w:rFonts w:eastAsia="Times New Roman"/>
          <w:lang w:eastAsia="en-US"/>
        </w:rPr>
        <w:t xml:space="preserve"> (</w:t>
      </w:r>
      <w:r w:rsidRPr="004C243A">
        <w:rPr>
          <w:rFonts w:eastAsia="Times New Roman"/>
          <w:lang w:eastAsia="en-US"/>
        </w:rPr>
        <w:t>2002</w:t>
      </w:r>
      <w:r w:rsidR="00657AD9" w:rsidRPr="004C243A">
        <w:rPr>
          <w:rFonts w:eastAsia="Times New Roman"/>
          <w:lang w:eastAsia="en-US"/>
        </w:rPr>
        <w:t>)</w:t>
      </w:r>
      <w:r w:rsidRPr="004C243A">
        <w:rPr>
          <w:rFonts w:eastAsia="Times New Roman"/>
          <w:lang w:eastAsia="en-US"/>
        </w:rPr>
        <w:t xml:space="preserve"> </w:t>
      </w:r>
      <w:r w:rsidR="009A7F2D" w:rsidRPr="004C243A">
        <w:rPr>
          <w:rFonts w:eastAsia="Times New Roman"/>
          <w:lang w:eastAsia="en-US"/>
        </w:rPr>
        <w:t>‘</w:t>
      </w:r>
      <w:r w:rsidRPr="004C243A">
        <w:rPr>
          <w:rFonts w:eastAsia="Times New Roman"/>
          <w:lang w:eastAsia="en-US"/>
        </w:rPr>
        <w:t>Public Spending for Children</w:t>
      </w:r>
      <w:r w:rsidR="00657AD9" w:rsidRPr="004C243A">
        <w:rPr>
          <w:rFonts w:eastAsia="Times New Roman"/>
          <w:lang w:eastAsia="en-US"/>
        </w:rPr>
        <w:t>: An Empirical Note</w:t>
      </w:r>
      <w:r w:rsidR="009A7F2D"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Journal of International Development</w:t>
      </w:r>
      <w:r w:rsidR="001D2AE1" w:rsidRPr="004C243A">
        <w:rPr>
          <w:rFonts w:eastAsia="Times New Roman"/>
          <w:i/>
          <w:lang w:eastAsia="en-US"/>
        </w:rPr>
        <w:t>,</w:t>
      </w:r>
      <w:r w:rsidRPr="004C243A">
        <w:rPr>
          <w:rFonts w:eastAsia="Times New Roman"/>
          <w:lang w:eastAsia="en-US"/>
        </w:rPr>
        <w:t xml:space="preserve"> 14</w:t>
      </w:r>
      <w:r w:rsidR="001D2AE1" w:rsidRPr="004C243A">
        <w:rPr>
          <w:rFonts w:eastAsia="Times New Roman"/>
          <w:lang w:eastAsia="en-US"/>
        </w:rPr>
        <w:t>,</w:t>
      </w:r>
      <w:r w:rsidRPr="004C243A">
        <w:rPr>
          <w:rFonts w:eastAsia="Times New Roman"/>
          <w:lang w:eastAsia="en-US"/>
        </w:rPr>
        <w:t xml:space="preserve"> 1105- 1116.</w:t>
      </w:r>
    </w:p>
    <w:p w14:paraId="6558F527" w14:textId="2EF41473" w:rsidR="006B7D0D" w:rsidRPr="004C243A" w:rsidRDefault="006B7D0D" w:rsidP="008954E4">
      <w:pPr>
        <w:pStyle w:val="Heading1"/>
        <w:shd w:val="clear" w:color="auto" w:fill="FFFFFF"/>
        <w:spacing w:before="105" w:beforeAutospacing="0" w:after="210" w:afterAutospacing="0"/>
        <w:textAlignment w:val="baseline"/>
        <w:rPr>
          <w:rFonts w:ascii="Times New Roman" w:eastAsia="Times New Roman" w:hAnsi="Times New Roman" w:cs="Times New Roman"/>
          <w:b w:val="0"/>
          <w:bCs w:val="0"/>
          <w:spacing w:val="5"/>
          <w:sz w:val="24"/>
          <w:szCs w:val="24"/>
          <w:lang w:val="en"/>
        </w:rPr>
      </w:pPr>
      <w:r w:rsidRPr="004C243A">
        <w:rPr>
          <w:rStyle w:val="authorname"/>
          <w:rFonts w:ascii="Times New Roman" w:eastAsia="Times New Roman" w:hAnsi="Times New Roman" w:cs="Times New Roman"/>
          <w:b w:val="0"/>
          <w:sz w:val="24"/>
          <w:szCs w:val="24"/>
          <w:bdr w:val="none" w:sz="0" w:space="0" w:color="auto" w:frame="1"/>
        </w:rPr>
        <w:t>Morrison</w:t>
      </w:r>
      <w:r w:rsidR="00657AD9" w:rsidRPr="004C243A">
        <w:rPr>
          <w:rStyle w:val="authorname"/>
          <w:rFonts w:ascii="Times New Roman" w:eastAsia="Times New Roman" w:hAnsi="Times New Roman" w:cs="Times New Roman"/>
          <w:b w:val="0"/>
          <w:sz w:val="24"/>
          <w:szCs w:val="24"/>
          <w:bdr w:val="none" w:sz="0" w:space="0" w:color="auto" w:frame="1"/>
        </w:rPr>
        <w:t>,</w:t>
      </w:r>
      <w:r w:rsidRPr="004C243A">
        <w:rPr>
          <w:rStyle w:val="authorname"/>
          <w:rFonts w:ascii="Times New Roman" w:eastAsia="Times New Roman" w:hAnsi="Times New Roman" w:cs="Times New Roman"/>
          <w:b w:val="0"/>
          <w:sz w:val="24"/>
          <w:szCs w:val="24"/>
          <w:bdr w:val="none" w:sz="0" w:space="0" w:color="auto" w:frame="1"/>
        </w:rPr>
        <w:t xml:space="preserve"> </w:t>
      </w:r>
      <w:r w:rsidR="00657AD9" w:rsidRPr="004C243A">
        <w:rPr>
          <w:rStyle w:val="authorname"/>
          <w:rFonts w:ascii="Times New Roman" w:eastAsia="Times New Roman" w:hAnsi="Times New Roman" w:cs="Times New Roman"/>
          <w:b w:val="0"/>
          <w:sz w:val="24"/>
          <w:szCs w:val="24"/>
          <w:bdr w:val="none" w:sz="0" w:space="0" w:color="auto" w:frame="1"/>
        </w:rPr>
        <w:t>Kevin (</w:t>
      </w:r>
      <w:r w:rsidRPr="004C243A">
        <w:rPr>
          <w:rStyle w:val="authorname"/>
          <w:rFonts w:ascii="Times New Roman" w:eastAsia="Times New Roman" w:hAnsi="Times New Roman" w:cs="Times New Roman"/>
          <w:b w:val="0"/>
          <w:sz w:val="24"/>
          <w:szCs w:val="24"/>
          <w:bdr w:val="none" w:sz="0" w:space="0" w:color="auto" w:frame="1"/>
        </w:rPr>
        <w:t>2013</w:t>
      </w:r>
      <w:r w:rsidR="00657AD9" w:rsidRPr="004C243A">
        <w:rPr>
          <w:rStyle w:val="authorname"/>
          <w:rFonts w:ascii="Times New Roman" w:eastAsia="Times New Roman" w:hAnsi="Times New Roman" w:cs="Times New Roman"/>
          <w:b w:val="0"/>
          <w:sz w:val="24"/>
          <w:szCs w:val="24"/>
          <w:bdr w:val="none" w:sz="0" w:space="0" w:color="auto" w:frame="1"/>
        </w:rPr>
        <w:t>)</w:t>
      </w:r>
      <w:r w:rsidRPr="004C243A">
        <w:rPr>
          <w:rStyle w:val="authorname"/>
          <w:rFonts w:ascii="Times New Roman" w:eastAsia="Times New Roman" w:hAnsi="Times New Roman" w:cs="Times New Roman"/>
          <w:b w:val="0"/>
          <w:sz w:val="24"/>
          <w:szCs w:val="24"/>
          <w:bdr w:val="none" w:sz="0" w:space="0" w:color="auto" w:frame="1"/>
        </w:rPr>
        <w:t xml:space="preserve"> </w:t>
      </w:r>
      <w:r w:rsidR="009A7F2D" w:rsidRPr="004C243A">
        <w:rPr>
          <w:rStyle w:val="authorname"/>
          <w:rFonts w:ascii="Times New Roman" w:eastAsia="Times New Roman" w:hAnsi="Times New Roman" w:cs="Times New Roman"/>
          <w:b w:val="0"/>
          <w:sz w:val="24"/>
          <w:szCs w:val="24"/>
          <w:bdr w:val="none" w:sz="0" w:space="0" w:color="auto" w:frame="1"/>
        </w:rPr>
        <w:t>‘</w:t>
      </w:r>
      <w:r w:rsidRPr="004C243A">
        <w:rPr>
          <w:rFonts w:ascii="Times New Roman" w:eastAsia="Times New Roman" w:hAnsi="Times New Roman" w:cs="Times New Roman"/>
          <w:b w:val="0"/>
          <w:bCs w:val="0"/>
          <w:spacing w:val="5"/>
          <w:sz w:val="24"/>
          <w:szCs w:val="24"/>
          <w:lang w:val="en"/>
        </w:rPr>
        <w:t xml:space="preserve">Membership no </w:t>
      </w:r>
      <w:r w:rsidR="001A0C83">
        <w:rPr>
          <w:rFonts w:ascii="Times New Roman" w:eastAsia="Times New Roman" w:hAnsi="Times New Roman" w:cs="Times New Roman"/>
          <w:b w:val="0"/>
          <w:bCs w:val="0"/>
          <w:spacing w:val="5"/>
          <w:sz w:val="24"/>
          <w:szCs w:val="24"/>
          <w:lang w:val="en"/>
        </w:rPr>
        <w:t>L</w:t>
      </w:r>
      <w:r w:rsidRPr="004C243A">
        <w:rPr>
          <w:rFonts w:ascii="Times New Roman" w:eastAsia="Times New Roman" w:hAnsi="Times New Roman" w:cs="Times New Roman"/>
          <w:b w:val="0"/>
          <w:bCs w:val="0"/>
          <w:spacing w:val="5"/>
          <w:sz w:val="24"/>
          <w:szCs w:val="24"/>
          <w:lang w:val="en"/>
        </w:rPr>
        <w:t xml:space="preserve">onger has its </w:t>
      </w:r>
      <w:r w:rsidR="001A0C83">
        <w:rPr>
          <w:rFonts w:ascii="Times New Roman" w:eastAsia="Times New Roman" w:hAnsi="Times New Roman" w:cs="Times New Roman"/>
          <w:b w:val="0"/>
          <w:bCs w:val="0"/>
          <w:spacing w:val="5"/>
          <w:sz w:val="24"/>
          <w:szCs w:val="24"/>
          <w:lang w:val="en"/>
        </w:rPr>
        <w:t>P</w:t>
      </w:r>
      <w:r w:rsidRPr="004C243A">
        <w:rPr>
          <w:rFonts w:ascii="Times New Roman" w:eastAsia="Times New Roman" w:hAnsi="Times New Roman" w:cs="Times New Roman"/>
          <w:b w:val="0"/>
          <w:bCs w:val="0"/>
          <w:spacing w:val="5"/>
          <w:sz w:val="24"/>
          <w:szCs w:val="24"/>
          <w:lang w:val="en"/>
        </w:rPr>
        <w:t xml:space="preserve">rivileges: The </w:t>
      </w:r>
      <w:r w:rsidR="001A0C83">
        <w:rPr>
          <w:rFonts w:ascii="Times New Roman" w:eastAsia="Times New Roman" w:hAnsi="Times New Roman" w:cs="Times New Roman"/>
          <w:b w:val="0"/>
          <w:bCs w:val="0"/>
          <w:spacing w:val="5"/>
          <w:sz w:val="24"/>
          <w:szCs w:val="24"/>
          <w:lang w:val="en"/>
        </w:rPr>
        <w:t>D</w:t>
      </w:r>
      <w:r w:rsidRPr="004C243A">
        <w:rPr>
          <w:rFonts w:ascii="Times New Roman" w:eastAsia="Times New Roman" w:hAnsi="Times New Roman" w:cs="Times New Roman"/>
          <w:b w:val="0"/>
          <w:bCs w:val="0"/>
          <w:spacing w:val="5"/>
          <w:sz w:val="24"/>
          <w:szCs w:val="24"/>
          <w:lang w:val="en"/>
        </w:rPr>
        <w:t xml:space="preserve">eclining </w:t>
      </w:r>
      <w:r w:rsidR="001A0C83">
        <w:rPr>
          <w:rFonts w:ascii="Times New Roman" w:eastAsia="Times New Roman" w:hAnsi="Times New Roman" w:cs="Times New Roman"/>
          <w:b w:val="0"/>
          <w:bCs w:val="0"/>
          <w:spacing w:val="5"/>
          <w:sz w:val="24"/>
          <w:szCs w:val="24"/>
          <w:lang w:val="en"/>
        </w:rPr>
        <w:t>I</w:t>
      </w:r>
      <w:r w:rsidRPr="004C243A">
        <w:rPr>
          <w:rFonts w:ascii="Times New Roman" w:eastAsia="Times New Roman" w:hAnsi="Times New Roman" w:cs="Times New Roman"/>
          <w:b w:val="0"/>
          <w:bCs w:val="0"/>
          <w:spacing w:val="5"/>
          <w:sz w:val="24"/>
          <w:szCs w:val="24"/>
          <w:lang w:val="en"/>
        </w:rPr>
        <w:t xml:space="preserve">nformal </w:t>
      </w:r>
      <w:r w:rsidR="001A0C83">
        <w:rPr>
          <w:rFonts w:ascii="Times New Roman" w:eastAsia="Times New Roman" w:hAnsi="Times New Roman" w:cs="Times New Roman"/>
          <w:b w:val="0"/>
          <w:bCs w:val="0"/>
          <w:spacing w:val="5"/>
          <w:sz w:val="24"/>
          <w:szCs w:val="24"/>
          <w:lang w:val="en"/>
        </w:rPr>
        <w:t>I</w:t>
      </w:r>
      <w:r w:rsidRPr="004C243A">
        <w:rPr>
          <w:rFonts w:ascii="Times New Roman" w:eastAsia="Times New Roman" w:hAnsi="Times New Roman" w:cs="Times New Roman"/>
          <w:b w:val="0"/>
          <w:bCs w:val="0"/>
          <w:spacing w:val="5"/>
          <w:sz w:val="24"/>
          <w:szCs w:val="24"/>
          <w:lang w:val="en"/>
        </w:rPr>
        <w:t xml:space="preserve">nfluence of Board </w:t>
      </w:r>
      <w:r w:rsidR="001A0C83">
        <w:rPr>
          <w:rFonts w:ascii="Times New Roman" w:eastAsia="Times New Roman" w:hAnsi="Times New Roman" w:cs="Times New Roman"/>
          <w:b w:val="0"/>
          <w:bCs w:val="0"/>
          <w:spacing w:val="5"/>
          <w:sz w:val="24"/>
          <w:szCs w:val="24"/>
          <w:lang w:val="en"/>
        </w:rPr>
        <w:t>M</w:t>
      </w:r>
      <w:r w:rsidRPr="004C243A">
        <w:rPr>
          <w:rFonts w:ascii="Times New Roman" w:eastAsia="Times New Roman" w:hAnsi="Times New Roman" w:cs="Times New Roman"/>
          <w:b w:val="0"/>
          <w:bCs w:val="0"/>
          <w:spacing w:val="5"/>
          <w:sz w:val="24"/>
          <w:szCs w:val="24"/>
          <w:lang w:val="en"/>
        </w:rPr>
        <w:t xml:space="preserve">embers on IDA </w:t>
      </w:r>
      <w:r w:rsidR="001A0C83">
        <w:rPr>
          <w:rFonts w:ascii="Times New Roman" w:eastAsia="Times New Roman" w:hAnsi="Times New Roman" w:cs="Times New Roman"/>
          <w:b w:val="0"/>
          <w:bCs w:val="0"/>
          <w:spacing w:val="5"/>
          <w:sz w:val="24"/>
          <w:szCs w:val="24"/>
          <w:lang w:val="en"/>
        </w:rPr>
        <w:t>L</w:t>
      </w:r>
      <w:r w:rsidRPr="004C243A">
        <w:rPr>
          <w:rFonts w:ascii="Times New Roman" w:eastAsia="Times New Roman" w:hAnsi="Times New Roman" w:cs="Times New Roman"/>
          <w:b w:val="0"/>
          <w:bCs w:val="0"/>
          <w:spacing w:val="5"/>
          <w:sz w:val="24"/>
          <w:szCs w:val="24"/>
          <w:lang w:val="en"/>
        </w:rPr>
        <w:t>ending.</w:t>
      </w:r>
      <w:r w:rsidR="009A7F2D" w:rsidRPr="004C243A">
        <w:rPr>
          <w:rFonts w:ascii="Times New Roman" w:eastAsia="Times New Roman" w:hAnsi="Times New Roman" w:cs="Times New Roman"/>
          <w:b w:val="0"/>
          <w:bCs w:val="0"/>
          <w:spacing w:val="5"/>
          <w:sz w:val="24"/>
          <w:szCs w:val="24"/>
          <w:lang w:val="en"/>
        </w:rPr>
        <w:t>’</w:t>
      </w:r>
      <w:r w:rsidRPr="004C243A">
        <w:rPr>
          <w:rFonts w:ascii="Times New Roman" w:eastAsia="Times New Roman" w:hAnsi="Times New Roman" w:cs="Times New Roman"/>
          <w:b w:val="0"/>
          <w:bCs w:val="0"/>
          <w:spacing w:val="5"/>
          <w:sz w:val="24"/>
          <w:szCs w:val="24"/>
          <w:lang w:val="en"/>
        </w:rPr>
        <w:t xml:space="preserve"> </w:t>
      </w:r>
      <w:r w:rsidRPr="004C243A">
        <w:rPr>
          <w:rFonts w:ascii="Times New Roman" w:eastAsia="Times New Roman" w:hAnsi="Times New Roman" w:cs="Times New Roman"/>
          <w:b w:val="0"/>
          <w:bCs w:val="0"/>
          <w:i/>
          <w:spacing w:val="5"/>
          <w:sz w:val="24"/>
          <w:szCs w:val="24"/>
          <w:lang w:val="en"/>
        </w:rPr>
        <w:t>The Reivew of International Organizations</w:t>
      </w:r>
      <w:r w:rsidR="001D2AE1" w:rsidRPr="004C243A">
        <w:rPr>
          <w:rFonts w:ascii="Times New Roman" w:eastAsia="Times New Roman" w:hAnsi="Times New Roman" w:cs="Times New Roman"/>
          <w:b w:val="0"/>
          <w:bCs w:val="0"/>
          <w:i/>
          <w:spacing w:val="5"/>
          <w:sz w:val="24"/>
          <w:szCs w:val="24"/>
          <w:lang w:val="en"/>
        </w:rPr>
        <w:t>,</w:t>
      </w:r>
      <w:r w:rsidRPr="004C243A">
        <w:rPr>
          <w:rFonts w:ascii="Times New Roman" w:eastAsia="Times New Roman" w:hAnsi="Times New Roman" w:cs="Times New Roman"/>
          <w:b w:val="0"/>
          <w:bCs w:val="0"/>
          <w:i/>
          <w:spacing w:val="5"/>
          <w:sz w:val="24"/>
          <w:szCs w:val="24"/>
          <w:lang w:val="en"/>
        </w:rPr>
        <w:t xml:space="preserve"> </w:t>
      </w:r>
      <w:r w:rsidRPr="004C243A">
        <w:rPr>
          <w:rFonts w:ascii="Times New Roman" w:eastAsia="Times New Roman" w:hAnsi="Times New Roman" w:cs="Times New Roman"/>
          <w:b w:val="0"/>
          <w:bCs w:val="0"/>
          <w:spacing w:val="5"/>
          <w:sz w:val="24"/>
          <w:szCs w:val="24"/>
          <w:lang w:val="en"/>
        </w:rPr>
        <w:t>8(2)</w:t>
      </w:r>
      <w:r w:rsidR="001D2AE1" w:rsidRPr="004C243A">
        <w:rPr>
          <w:rFonts w:ascii="Times New Roman" w:eastAsia="Times New Roman" w:hAnsi="Times New Roman" w:cs="Times New Roman"/>
          <w:b w:val="0"/>
          <w:bCs w:val="0"/>
          <w:spacing w:val="5"/>
          <w:sz w:val="24"/>
          <w:szCs w:val="24"/>
          <w:lang w:val="en"/>
        </w:rPr>
        <w:t>,</w:t>
      </w:r>
      <w:r w:rsidRPr="004C243A">
        <w:rPr>
          <w:rFonts w:ascii="Times New Roman" w:eastAsia="Times New Roman" w:hAnsi="Times New Roman" w:cs="Times New Roman"/>
          <w:b w:val="0"/>
          <w:bCs w:val="0"/>
          <w:spacing w:val="5"/>
          <w:sz w:val="24"/>
          <w:szCs w:val="24"/>
          <w:lang w:val="en"/>
        </w:rPr>
        <w:t xml:space="preserve"> 291-312</w:t>
      </w:r>
      <w:r w:rsidRPr="004C243A">
        <w:rPr>
          <w:rFonts w:ascii="Times New Roman" w:eastAsia="Times New Roman" w:hAnsi="Times New Roman" w:cs="Times New Roman"/>
          <w:b w:val="0"/>
          <w:bCs w:val="0"/>
          <w:i/>
          <w:spacing w:val="5"/>
          <w:sz w:val="24"/>
          <w:szCs w:val="24"/>
          <w:lang w:val="en"/>
        </w:rPr>
        <w:t>.</w:t>
      </w:r>
    </w:p>
    <w:p w14:paraId="1B733539" w14:textId="49D4F478" w:rsidR="00CF4DFD" w:rsidRPr="004C243A" w:rsidRDefault="008954E4" w:rsidP="008954E4">
      <w:pPr>
        <w:widowControl w:val="0"/>
        <w:autoSpaceDE w:val="0"/>
        <w:autoSpaceDN w:val="0"/>
        <w:adjustRightInd w:val="0"/>
        <w:spacing w:after="240"/>
        <w:rPr>
          <w:rFonts w:eastAsiaTheme="minorEastAsia"/>
          <w:lang w:eastAsia="en-US"/>
        </w:rPr>
      </w:pPr>
      <w:r w:rsidRPr="004C243A">
        <w:rPr>
          <w:rFonts w:eastAsiaTheme="minorEastAsia"/>
          <w:lang w:eastAsia="en-US"/>
        </w:rPr>
        <w:t>Oberdabernig</w:t>
      </w:r>
      <w:r w:rsidR="00657AD9" w:rsidRPr="004C243A">
        <w:rPr>
          <w:rFonts w:eastAsiaTheme="minorEastAsia"/>
          <w:lang w:eastAsia="en-US"/>
        </w:rPr>
        <w:t>, Doris (</w:t>
      </w:r>
      <w:r w:rsidRPr="004C243A">
        <w:rPr>
          <w:rFonts w:eastAsiaTheme="minorEastAsia"/>
          <w:lang w:eastAsia="en-US"/>
        </w:rPr>
        <w:t>2013</w:t>
      </w:r>
      <w:r w:rsidR="00657AD9" w:rsidRPr="004C243A">
        <w:rPr>
          <w:rFonts w:eastAsiaTheme="minorEastAsia"/>
          <w:lang w:eastAsia="en-US"/>
        </w:rPr>
        <w:t xml:space="preserve">) </w:t>
      </w:r>
      <w:r w:rsidR="009A7F2D" w:rsidRPr="004C243A">
        <w:rPr>
          <w:rFonts w:eastAsiaTheme="minorEastAsia"/>
          <w:lang w:eastAsia="en-US"/>
        </w:rPr>
        <w:t>‘</w:t>
      </w:r>
      <w:r w:rsidRPr="004C243A">
        <w:rPr>
          <w:rFonts w:eastAsiaTheme="minorEastAsia"/>
          <w:lang w:eastAsia="en-US"/>
        </w:rPr>
        <w:t>Revisiting the Effects of IMF Pro</w:t>
      </w:r>
      <w:r w:rsidR="00657AD9" w:rsidRPr="004C243A">
        <w:rPr>
          <w:rFonts w:eastAsiaTheme="minorEastAsia"/>
          <w:lang w:eastAsia="en-US"/>
        </w:rPr>
        <w:t>grams on Poverty and Inequality</w:t>
      </w:r>
      <w:r w:rsidR="009A7F2D" w:rsidRPr="004C243A">
        <w:rPr>
          <w:rFonts w:eastAsiaTheme="minorEastAsia"/>
          <w:lang w:eastAsia="en-US"/>
        </w:rPr>
        <w:t>’</w:t>
      </w:r>
      <w:r w:rsidRPr="004C243A">
        <w:rPr>
          <w:rFonts w:eastAsiaTheme="minorEastAsia"/>
          <w:lang w:eastAsia="en-US"/>
        </w:rPr>
        <w:t xml:space="preserve"> </w:t>
      </w:r>
      <w:r w:rsidRPr="004C243A">
        <w:rPr>
          <w:rFonts w:eastAsiaTheme="minorEastAsia"/>
          <w:i/>
          <w:iCs/>
          <w:lang w:eastAsia="en-US"/>
        </w:rPr>
        <w:t>World Development</w:t>
      </w:r>
      <w:r w:rsidR="001D2AE1" w:rsidRPr="004C243A">
        <w:rPr>
          <w:rFonts w:eastAsiaTheme="minorEastAsia"/>
          <w:i/>
          <w:iCs/>
          <w:lang w:eastAsia="en-US"/>
        </w:rPr>
        <w:t>,</w:t>
      </w:r>
      <w:r w:rsidRPr="004C243A">
        <w:rPr>
          <w:rFonts w:eastAsiaTheme="minorEastAsia"/>
          <w:lang w:eastAsia="en-US"/>
        </w:rPr>
        <w:t xml:space="preserve"> 46</w:t>
      </w:r>
      <w:r w:rsidR="001D2AE1" w:rsidRPr="004C243A">
        <w:rPr>
          <w:rFonts w:eastAsiaTheme="minorEastAsia"/>
          <w:lang w:eastAsia="en-US"/>
        </w:rPr>
        <w:t xml:space="preserve">, </w:t>
      </w:r>
      <w:r w:rsidRPr="004C243A">
        <w:rPr>
          <w:rFonts w:eastAsiaTheme="minorEastAsia"/>
          <w:lang w:eastAsia="en-US"/>
        </w:rPr>
        <w:t xml:space="preserve">113-142. </w:t>
      </w:r>
    </w:p>
    <w:p w14:paraId="54D9B60D" w14:textId="6B378306" w:rsidR="00653098" w:rsidRPr="004C243A" w:rsidRDefault="00653098" w:rsidP="001D6040">
      <w:pPr>
        <w:pStyle w:val="NoSpacing"/>
        <w:rPr>
          <w:rFonts w:eastAsia="Times New Roman"/>
          <w:lang w:eastAsia="en-US"/>
        </w:rPr>
      </w:pPr>
      <w:r w:rsidRPr="004C243A">
        <w:rPr>
          <w:rFonts w:eastAsia="Times New Roman"/>
          <w:shd w:val="clear" w:color="auto" w:fill="FFFFFF"/>
          <w:lang w:eastAsia="en-US"/>
        </w:rPr>
        <w:t xml:space="preserve">O’Hare, </w:t>
      </w:r>
      <w:r w:rsidR="00657AD9" w:rsidRPr="004C243A">
        <w:rPr>
          <w:rFonts w:eastAsia="Times New Roman"/>
          <w:shd w:val="clear" w:color="auto" w:fill="FFFFFF"/>
          <w:lang w:eastAsia="en-US"/>
        </w:rPr>
        <w:t xml:space="preserve">Bernadette, </w:t>
      </w:r>
      <w:r w:rsidRPr="004C243A">
        <w:rPr>
          <w:rFonts w:eastAsia="Times New Roman"/>
          <w:shd w:val="clear" w:color="auto" w:fill="FFFFFF"/>
          <w:lang w:eastAsia="en-US"/>
        </w:rPr>
        <w:t xml:space="preserve">Innocent Makuta, Levison Chiwaula and Naor Bar-Zeev </w:t>
      </w:r>
      <w:r w:rsidR="00657AD9" w:rsidRPr="004C243A">
        <w:rPr>
          <w:rFonts w:eastAsia="Times New Roman"/>
          <w:shd w:val="clear" w:color="auto" w:fill="FFFFFF"/>
          <w:lang w:eastAsia="en-US"/>
        </w:rPr>
        <w:t>(</w:t>
      </w:r>
      <w:r w:rsidRPr="004C243A">
        <w:rPr>
          <w:rFonts w:eastAsia="Times New Roman"/>
          <w:shd w:val="clear" w:color="auto" w:fill="FFFFFF"/>
          <w:lang w:eastAsia="en-US"/>
        </w:rPr>
        <w:t>2013</w:t>
      </w:r>
      <w:r w:rsidR="00657AD9" w:rsidRPr="004C243A">
        <w:rPr>
          <w:rFonts w:eastAsia="Times New Roman"/>
          <w:shd w:val="clear" w:color="auto" w:fill="FFFFFF"/>
          <w:lang w:eastAsia="en-US"/>
        </w:rPr>
        <w:t>)</w:t>
      </w:r>
      <w:r w:rsidRPr="004C243A">
        <w:rPr>
          <w:rFonts w:eastAsia="Times New Roman"/>
          <w:shd w:val="clear" w:color="auto" w:fill="FFFFFF"/>
          <w:lang w:eastAsia="en-US"/>
        </w:rPr>
        <w:t xml:space="preserve"> </w:t>
      </w:r>
      <w:r w:rsidR="009A7F2D" w:rsidRPr="004C243A">
        <w:rPr>
          <w:rFonts w:eastAsia="Times New Roman"/>
          <w:shd w:val="clear" w:color="auto" w:fill="FFFFFF"/>
          <w:lang w:eastAsia="en-US"/>
        </w:rPr>
        <w:t>‘</w:t>
      </w:r>
      <w:r w:rsidRPr="004C243A">
        <w:rPr>
          <w:rFonts w:eastAsia="Times New Roman"/>
          <w:shd w:val="clear" w:color="auto" w:fill="FFFFFF"/>
          <w:lang w:eastAsia="en-US"/>
        </w:rPr>
        <w:t>Income and Child Mortality in Developing Countries: A Syst</w:t>
      </w:r>
      <w:r w:rsidR="00657AD9" w:rsidRPr="004C243A">
        <w:rPr>
          <w:rFonts w:eastAsia="Times New Roman"/>
          <w:shd w:val="clear" w:color="auto" w:fill="FFFFFF"/>
          <w:lang w:eastAsia="en-US"/>
        </w:rPr>
        <w:t>ematic Review and Meta-Analysis</w:t>
      </w:r>
      <w:r w:rsidR="009A7F2D" w:rsidRPr="004C243A">
        <w:rPr>
          <w:rFonts w:eastAsia="Times New Roman"/>
          <w:shd w:val="clear" w:color="auto" w:fill="FFFFFF"/>
          <w:lang w:eastAsia="en-US"/>
        </w:rPr>
        <w:t>’</w:t>
      </w:r>
      <w:r w:rsidRPr="004C243A">
        <w:rPr>
          <w:rFonts w:eastAsia="Times New Roman"/>
          <w:shd w:val="clear" w:color="auto" w:fill="FFFFFF"/>
          <w:lang w:eastAsia="en-US"/>
        </w:rPr>
        <w:t> </w:t>
      </w:r>
      <w:r w:rsidRPr="004C243A">
        <w:rPr>
          <w:rFonts w:eastAsia="Times New Roman"/>
          <w:i/>
          <w:iCs/>
          <w:shd w:val="clear" w:color="auto" w:fill="FFFFFF"/>
          <w:lang w:eastAsia="en-US"/>
        </w:rPr>
        <w:t>Journal of the Royal Society of Medicine</w:t>
      </w:r>
      <w:r w:rsidR="001D2AE1" w:rsidRPr="004C243A">
        <w:rPr>
          <w:rFonts w:eastAsia="Times New Roman"/>
          <w:i/>
          <w:iCs/>
          <w:shd w:val="clear" w:color="auto" w:fill="FFFFFF"/>
          <w:lang w:eastAsia="en-US"/>
        </w:rPr>
        <w:t>,</w:t>
      </w:r>
      <w:r w:rsidRPr="004C243A">
        <w:rPr>
          <w:rFonts w:eastAsia="Times New Roman"/>
          <w:shd w:val="clear" w:color="auto" w:fill="FFFFFF"/>
          <w:lang w:eastAsia="en-US"/>
        </w:rPr>
        <w:t> 106(10)</w:t>
      </w:r>
      <w:r w:rsidR="001D2AE1" w:rsidRPr="004C243A">
        <w:rPr>
          <w:rFonts w:eastAsia="Times New Roman"/>
          <w:shd w:val="clear" w:color="auto" w:fill="FFFFFF"/>
          <w:lang w:eastAsia="en-US"/>
        </w:rPr>
        <w:t>,</w:t>
      </w:r>
      <w:r w:rsidRPr="004C243A">
        <w:rPr>
          <w:rFonts w:eastAsia="Times New Roman"/>
          <w:shd w:val="clear" w:color="auto" w:fill="FFFFFF"/>
          <w:lang w:eastAsia="en-US"/>
        </w:rPr>
        <w:t xml:space="preserve"> 408–414. </w:t>
      </w:r>
      <w:r w:rsidRPr="004C243A">
        <w:rPr>
          <w:rFonts w:eastAsia="Times New Roman"/>
          <w:i/>
          <w:iCs/>
          <w:shd w:val="clear" w:color="auto" w:fill="FFFFFF"/>
          <w:lang w:eastAsia="en-US"/>
        </w:rPr>
        <w:t xml:space="preserve"> </w:t>
      </w:r>
    </w:p>
    <w:p w14:paraId="61640326" w14:textId="77777777" w:rsidR="00653098" w:rsidRPr="004C243A" w:rsidRDefault="00653098" w:rsidP="001D6040">
      <w:pPr>
        <w:pStyle w:val="NoSpacing"/>
        <w:rPr>
          <w:rStyle w:val="Emphasis"/>
          <w:rFonts w:eastAsia="Times New Roman"/>
          <w:i w:val="0"/>
        </w:rPr>
      </w:pPr>
    </w:p>
    <w:p w14:paraId="5BDF210A" w14:textId="76ADAE96" w:rsidR="004B5322" w:rsidRPr="004C243A" w:rsidRDefault="004B5322" w:rsidP="001D6040">
      <w:pPr>
        <w:pStyle w:val="NoSpacing"/>
        <w:rPr>
          <w:lang w:eastAsia="en-US"/>
        </w:rPr>
      </w:pPr>
      <w:r w:rsidRPr="004C243A">
        <w:rPr>
          <w:bCs/>
          <w:lang w:eastAsia="en-US"/>
        </w:rPr>
        <w:t>Ravallion</w:t>
      </w:r>
      <w:r w:rsidR="00657AD9" w:rsidRPr="004C243A">
        <w:rPr>
          <w:bCs/>
          <w:lang w:eastAsia="en-US"/>
        </w:rPr>
        <w:t>,</w:t>
      </w:r>
      <w:r w:rsidRPr="004C243A">
        <w:rPr>
          <w:bCs/>
          <w:lang w:eastAsia="en-US"/>
        </w:rPr>
        <w:t xml:space="preserve"> </w:t>
      </w:r>
      <w:r w:rsidR="00657AD9" w:rsidRPr="004C243A">
        <w:rPr>
          <w:bCs/>
          <w:lang w:eastAsia="en-US"/>
        </w:rPr>
        <w:t>Martin (</w:t>
      </w:r>
      <w:r w:rsidRPr="004C243A">
        <w:rPr>
          <w:bCs/>
          <w:lang w:eastAsia="en-US"/>
        </w:rPr>
        <w:t>2015</w:t>
      </w:r>
      <w:r w:rsidR="00657AD9" w:rsidRPr="004C243A">
        <w:rPr>
          <w:bCs/>
          <w:lang w:eastAsia="en-US"/>
        </w:rPr>
        <w:t>)</w:t>
      </w:r>
      <w:r w:rsidRPr="004C243A">
        <w:rPr>
          <w:bCs/>
          <w:lang w:eastAsia="en-US"/>
        </w:rPr>
        <w:t xml:space="preserve"> </w:t>
      </w:r>
      <w:r w:rsidRPr="004C243A">
        <w:rPr>
          <w:bCs/>
          <w:i/>
          <w:lang w:eastAsia="en-US"/>
        </w:rPr>
        <w:t>World Bank: Why It Is Still Needed and Why It Still Disappoints</w:t>
      </w:r>
      <w:r w:rsidRPr="004C243A">
        <w:rPr>
          <w:bCs/>
          <w:lang w:eastAsia="en-US"/>
        </w:rPr>
        <w:t xml:space="preserve">. CGD Working Paper 400. </w:t>
      </w:r>
      <w:r w:rsidRPr="004C243A">
        <w:rPr>
          <w:lang w:eastAsia="en-US"/>
        </w:rPr>
        <w:t xml:space="preserve">Washington, DC: Center for Global Development. </w:t>
      </w:r>
      <w:r w:rsidR="00657AD9" w:rsidRPr="004C243A">
        <w:rPr>
          <w:rFonts w:eastAsia="Times New Roman"/>
          <w:lang w:eastAsia="en-US"/>
        </w:rPr>
        <w:t xml:space="preserve">accessed 24 December 2015 at </w:t>
      </w:r>
      <w:r w:rsidRPr="004C243A">
        <w:rPr>
          <w:lang w:eastAsia="en-US"/>
        </w:rPr>
        <w:t xml:space="preserve">www.cgdev.org/publication/world-bank-why-it-still-needed-and-why-it-still-disappoints- working-paper-400 </w:t>
      </w:r>
    </w:p>
    <w:p w14:paraId="4E5B16BA" w14:textId="015494E0" w:rsidR="004344BB" w:rsidRPr="004C243A" w:rsidRDefault="004344BB" w:rsidP="0013153C">
      <w:pPr>
        <w:pStyle w:val="NoSpacing"/>
        <w:rPr>
          <w:rFonts w:eastAsia="Times New Roman"/>
        </w:rPr>
      </w:pPr>
    </w:p>
    <w:p w14:paraId="193F68AC" w14:textId="375FA185" w:rsidR="00100C8E" w:rsidRPr="004C243A" w:rsidRDefault="00100C8E" w:rsidP="00FF62DE">
      <w:pPr>
        <w:pStyle w:val="NoSpacing"/>
        <w:rPr>
          <w:rFonts w:eastAsia="Times New Roman"/>
        </w:rPr>
      </w:pPr>
      <w:r w:rsidRPr="004C243A">
        <w:rPr>
          <w:rFonts w:eastAsia="Times New Roman"/>
        </w:rPr>
        <w:t>Sarfaty</w:t>
      </w:r>
      <w:r w:rsidR="007D4233" w:rsidRPr="004C243A">
        <w:rPr>
          <w:rFonts w:eastAsia="Times New Roman"/>
        </w:rPr>
        <w:t>,</w:t>
      </w:r>
      <w:r w:rsidRPr="004C243A">
        <w:rPr>
          <w:rFonts w:eastAsia="Times New Roman"/>
        </w:rPr>
        <w:t xml:space="preserve"> </w:t>
      </w:r>
      <w:r w:rsidR="007D4233" w:rsidRPr="004C243A">
        <w:rPr>
          <w:rFonts w:eastAsia="Times New Roman"/>
        </w:rPr>
        <w:t>Galit (</w:t>
      </w:r>
      <w:r w:rsidRPr="004C243A">
        <w:rPr>
          <w:rFonts w:eastAsia="Times New Roman"/>
        </w:rPr>
        <w:t>2012</w:t>
      </w:r>
      <w:r w:rsidR="007D4233" w:rsidRPr="004C243A">
        <w:rPr>
          <w:rFonts w:eastAsia="Times New Roman"/>
        </w:rPr>
        <w:t>)</w:t>
      </w:r>
      <w:r w:rsidRPr="004C243A">
        <w:rPr>
          <w:rFonts w:eastAsia="Times New Roman"/>
        </w:rPr>
        <w:t xml:space="preserve"> </w:t>
      </w:r>
      <w:r w:rsidRPr="004C243A">
        <w:rPr>
          <w:rFonts w:eastAsia="Times New Roman"/>
          <w:i/>
        </w:rPr>
        <w:t>Values in Transition: Human Rights and the Culture of the World Bank</w:t>
      </w:r>
      <w:r w:rsidR="007D4233" w:rsidRPr="004C243A">
        <w:rPr>
          <w:rFonts w:eastAsia="Times New Roman"/>
          <w:i/>
        </w:rPr>
        <w:t xml:space="preserve">, </w:t>
      </w:r>
      <w:r w:rsidRPr="004C243A">
        <w:rPr>
          <w:rFonts w:eastAsia="Times New Roman"/>
        </w:rPr>
        <w:t>Stanford, CA: Stanford University Press.</w:t>
      </w:r>
    </w:p>
    <w:p w14:paraId="114EFCB5" w14:textId="77777777" w:rsidR="00100C8E" w:rsidRPr="004C243A" w:rsidRDefault="00100C8E" w:rsidP="00FF62DE">
      <w:pPr>
        <w:pStyle w:val="NoSpacing"/>
        <w:rPr>
          <w:rFonts w:eastAsia="Times New Roman"/>
        </w:rPr>
      </w:pPr>
    </w:p>
    <w:p w14:paraId="1782F410" w14:textId="6AF5775C" w:rsidR="004344BB" w:rsidRPr="004C243A" w:rsidRDefault="00517C42" w:rsidP="004344BB">
      <w:pPr>
        <w:pStyle w:val="NoSpacing"/>
        <w:rPr>
          <w:rFonts w:eastAsia="Times New Roman"/>
        </w:rPr>
      </w:pPr>
      <w:r w:rsidRPr="004C243A">
        <w:rPr>
          <w:rFonts w:eastAsia="Times New Roman"/>
        </w:rPr>
        <w:t>Soares</w:t>
      </w:r>
      <w:r w:rsidR="007D4233" w:rsidRPr="004C243A">
        <w:rPr>
          <w:rFonts w:eastAsia="Times New Roman"/>
        </w:rPr>
        <w:t>,</w:t>
      </w:r>
      <w:r w:rsidRPr="004C243A">
        <w:rPr>
          <w:rFonts w:eastAsia="Times New Roman"/>
        </w:rPr>
        <w:t xml:space="preserve"> </w:t>
      </w:r>
      <w:r w:rsidR="007D4233" w:rsidRPr="004C243A">
        <w:rPr>
          <w:rFonts w:eastAsia="Times New Roman"/>
        </w:rPr>
        <w:t>Rodrigo (</w:t>
      </w:r>
      <w:r w:rsidRPr="004C243A">
        <w:rPr>
          <w:rFonts w:eastAsia="Times New Roman"/>
        </w:rPr>
        <w:t>2005</w:t>
      </w:r>
      <w:r w:rsidR="007D4233" w:rsidRPr="004C243A">
        <w:rPr>
          <w:rFonts w:eastAsia="Times New Roman"/>
        </w:rPr>
        <w:t>)</w:t>
      </w:r>
      <w:r w:rsidRPr="004C243A">
        <w:rPr>
          <w:rFonts w:eastAsia="Times New Roman"/>
          <w:bCs/>
        </w:rPr>
        <w:t xml:space="preserve"> </w:t>
      </w:r>
      <w:r w:rsidR="009A7F2D" w:rsidRPr="004C243A">
        <w:rPr>
          <w:rFonts w:eastAsia="Times New Roman"/>
          <w:bCs/>
        </w:rPr>
        <w:t>‘</w:t>
      </w:r>
      <w:r w:rsidRPr="004C243A">
        <w:rPr>
          <w:rFonts w:eastAsia="Times New Roman"/>
          <w:bCs/>
        </w:rPr>
        <w:t>Mortality Reductions, Educational Attainment, and Fertility Choice</w:t>
      </w:r>
      <w:r w:rsidR="009A7F2D" w:rsidRPr="004C243A">
        <w:rPr>
          <w:rFonts w:eastAsia="Times New Roman"/>
        </w:rPr>
        <w:t>’</w:t>
      </w:r>
      <w:r w:rsidRPr="004C243A">
        <w:rPr>
          <w:rFonts w:eastAsia="Times New Roman"/>
        </w:rPr>
        <w:t xml:space="preserve"> </w:t>
      </w:r>
      <w:r w:rsidRPr="004C243A">
        <w:rPr>
          <w:rStyle w:val="HTMLCite"/>
          <w:rFonts w:eastAsia="Times New Roman"/>
        </w:rPr>
        <w:t>The American Economic Review</w:t>
      </w:r>
      <w:r w:rsidR="001D2AE1" w:rsidRPr="004C243A">
        <w:rPr>
          <w:rStyle w:val="HTMLCite"/>
          <w:rFonts w:eastAsia="Times New Roman"/>
        </w:rPr>
        <w:t>,</w:t>
      </w:r>
      <w:r w:rsidRPr="004C243A">
        <w:rPr>
          <w:rFonts w:eastAsia="Times New Roman"/>
        </w:rPr>
        <w:t xml:space="preserve"> 95(3)</w:t>
      </w:r>
      <w:r w:rsidR="001D2AE1" w:rsidRPr="004C243A">
        <w:rPr>
          <w:rFonts w:eastAsia="Times New Roman"/>
        </w:rPr>
        <w:t>,</w:t>
      </w:r>
      <w:r w:rsidRPr="004C243A">
        <w:rPr>
          <w:rFonts w:eastAsia="Times New Roman"/>
        </w:rPr>
        <w:t xml:space="preserve"> 580-601</w:t>
      </w:r>
    </w:p>
    <w:p w14:paraId="5DE929EC" w14:textId="77777777" w:rsidR="004344BB" w:rsidRPr="004C243A" w:rsidRDefault="004344BB" w:rsidP="004344BB">
      <w:pPr>
        <w:pStyle w:val="NoSpacing"/>
        <w:rPr>
          <w:rFonts w:eastAsia="Times New Roman"/>
        </w:rPr>
      </w:pPr>
    </w:p>
    <w:p w14:paraId="1A0363E3" w14:textId="5ACC9ADD" w:rsidR="004B5322" w:rsidRPr="004C243A" w:rsidRDefault="004B5322" w:rsidP="001D6040">
      <w:pPr>
        <w:pStyle w:val="NoSpacing"/>
        <w:rPr>
          <w:lang w:eastAsia="en-US"/>
        </w:rPr>
      </w:pPr>
      <w:r w:rsidRPr="004C243A">
        <w:rPr>
          <w:lang w:eastAsia="en-US"/>
        </w:rPr>
        <w:t>van Genugten</w:t>
      </w:r>
      <w:r w:rsidR="007D4233" w:rsidRPr="004C243A">
        <w:rPr>
          <w:lang w:eastAsia="en-US"/>
        </w:rPr>
        <w:t>, Willem (</w:t>
      </w:r>
      <w:r w:rsidRPr="004C243A">
        <w:rPr>
          <w:lang w:eastAsia="en-US"/>
        </w:rPr>
        <w:t>2015</w:t>
      </w:r>
      <w:r w:rsidR="007D4233" w:rsidRPr="004C243A">
        <w:rPr>
          <w:lang w:eastAsia="en-US"/>
        </w:rPr>
        <w:t>)</w:t>
      </w:r>
      <w:r w:rsidRPr="004C243A">
        <w:rPr>
          <w:lang w:eastAsia="en-US"/>
        </w:rPr>
        <w:t xml:space="preserve"> </w:t>
      </w:r>
      <w:r w:rsidRPr="004C243A">
        <w:rPr>
          <w:i/>
          <w:lang w:eastAsia="en-US"/>
        </w:rPr>
        <w:t>The World Bank Group, the IMF and Human Rights</w:t>
      </w:r>
      <w:r w:rsidR="007D4233" w:rsidRPr="004C243A">
        <w:rPr>
          <w:lang w:eastAsia="en-US"/>
        </w:rPr>
        <w:t>,</w:t>
      </w:r>
      <w:r w:rsidRPr="004C243A">
        <w:rPr>
          <w:lang w:eastAsia="en-US"/>
        </w:rPr>
        <w:t xml:space="preserve"> Cambridge: Intersentia.</w:t>
      </w:r>
    </w:p>
    <w:p w14:paraId="0F1BBA7C" w14:textId="77777777" w:rsidR="004B5322" w:rsidRPr="004C243A" w:rsidRDefault="004B5322" w:rsidP="001D6040">
      <w:pPr>
        <w:pStyle w:val="NoSpacing"/>
        <w:rPr>
          <w:rFonts w:eastAsia="Times New Roman"/>
          <w:lang w:eastAsia="en-US"/>
        </w:rPr>
      </w:pPr>
    </w:p>
    <w:p w14:paraId="3B1B24B3" w14:textId="329407D4" w:rsidR="009677D0" w:rsidRPr="004C243A" w:rsidRDefault="009677D0" w:rsidP="009677D0">
      <w:r w:rsidRPr="004C243A">
        <w:t xml:space="preserve">World Bank </w:t>
      </w:r>
      <w:r w:rsidR="007D4233" w:rsidRPr="004C243A">
        <w:t>(</w:t>
      </w:r>
      <w:r w:rsidRPr="004C243A">
        <w:t>1998</w:t>
      </w:r>
      <w:r w:rsidR="007D4233" w:rsidRPr="004C243A">
        <w:t>)</w:t>
      </w:r>
      <w:r w:rsidRPr="004C243A">
        <w:t xml:space="preserve"> </w:t>
      </w:r>
      <w:r w:rsidRPr="004C243A">
        <w:rPr>
          <w:i/>
        </w:rPr>
        <w:t>Development and Human Rights: The Role of the World Bank,</w:t>
      </w:r>
      <w:r w:rsidRPr="004C243A">
        <w:t xml:space="preserve"> Washington, DC: World Bank.</w:t>
      </w:r>
    </w:p>
    <w:p w14:paraId="268522A6" w14:textId="77777777" w:rsidR="009677D0" w:rsidRPr="004C243A" w:rsidRDefault="009677D0" w:rsidP="009677D0"/>
    <w:p w14:paraId="3AEF2D89" w14:textId="306D9FEB" w:rsidR="004B5322" w:rsidRPr="004C243A" w:rsidRDefault="004B5322" w:rsidP="001D6040">
      <w:pPr>
        <w:pStyle w:val="NoSpacing"/>
        <w:rPr>
          <w:lang w:eastAsia="en-US"/>
        </w:rPr>
      </w:pPr>
      <w:r w:rsidRPr="004C243A">
        <w:rPr>
          <w:lang w:eastAsia="en-US"/>
        </w:rPr>
        <w:t xml:space="preserve">World Bank </w:t>
      </w:r>
      <w:r w:rsidR="007D4233" w:rsidRPr="004C243A">
        <w:rPr>
          <w:lang w:eastAsia="en-US"/>
        </w:rPr>
        <w:t>(</w:t>
      </w:r>
      <w:r w:rsidRPr="004C243A">
        <w:rPr>
          <w:lang w:eastAsia="en-US"/>
        </w:rPr>
        <w:t>2014</w:t>
      </w:r>
      <w:r w:rsidR="007D4233" w:rsidRPr="004C243A">
        <w:rPr>
          <w:lang w:eastAsia="en-US"/>
        </w:rPr>
        <w:t>)</w:t>
      </w:r>
      <w:r w:rsidRPr="004C243A">
        <w:rPr>
          <w:lang w:eastAsia="en-US"/>
        </w:rPr>
        <w:t xml:space="preserve"> </w:t>
      </w:r>
      <w:r w:rsidRPr="004C243A">
        <w:rPr>
          <w:i/>
          <w:lang w:eastAsia="en-US"/>
        </w:rPr>
        <w:t>The State of Social Safety Nets 2014</w:t>
      </w:r>
      <w:r w:rsidR="007D4233" w:rsidRPr="004C243A">
        <w:rPr>
          <w:lang w:eastAsia="en-US"/>
        </w:rPr>
        <w:t>,</w:t>
      </w:r>
      <w:r w:rsidRPr="004C243A">
        <w:rPr>
          <w:lang w:eastAsia="en-US"/>
        </w:rPr>
        <w:t xml:space="preserve"> Washington DC: World Bank. </w:t>
      </w:r>
    </w:p>
    <w:p w14:paraId="10C990FF" w14:textId="77777777" w:rsidR="00640791" w:rsidRPr="004C243A" w:rsidRDefault="00640791" w:rsidP="001D6040">
      <w:pPr>
        <w:pStyle w:val="NoSpacing"/>
        <w:rPr>
          <w:lang w:eastAsia="en-US"/>
        </w:rPr>
      </w:pPr>
    </w:p>
    <w:p w14:paraId="7A43B2C3" w14:textId="542ABFB4" w:rsidR="00734904" w:rsidRPr="004C243A" w:rsidRDefault="00734904" w:rsidP="00734904">
      <w:pPr>
        <w:rPr>
          <w:rFonts w:eastAsia="Times New Roman"/>
          <w:lang w:eastAsia="en-US"/>
        </w:rPr>
      </w:pPr>
      <w:r w:rsidRPr="004C243A">
        <w:rPr>
          <w:rFonts w:eastAsia="Times New Roman"/>
          <w:lang w:eastAsia="en-US"/>
        </w:rPr>
        <w:t>World Health Organization</w:t>
      </w:r>
      <w:r w:rsidR="007D4233" w:rsidRPr="004C243A">
        <w:rPr>
          <w:rFonts w:eastAsia="Times New Roman"/>
          <w:lang w:eastAsia="en-US"/>
        </w:rPr>
        <w:t xml:space="preserve"> (</w:t>
      </w:r>
      <w:r w:rsidRPr="004C243A">
        <w:rPr>
          <w:rFonts w:eastAsia="Times New Roman"/>
          <w:lang w:eastAsia="en-US"/>
        </w:rPr>
        <w:t>2015</w:t>
      </w:r>
      <w:r w:rsidR="007D4233" w:rsidRPr="004C243A">
        <w:rPr>
          <w:rFonts w:eastAsia="Times New Roman"/>
          <w:lang w:eastAsia="en-US"/>
        </w:rPr>
        <w:t>)</w:t>
      </w:r>
      <w:r w:rsidRPr="004C243A">
        <w:rPr>
          <w:rFonts w:eastAsia="Times New Roman"/>
          <w:lang w:eastAsia="en-US"/>
        </w:rPr>
        <w:t xml:space="preserve"> </w:t>
      </w:r>
      <w:r w:rsidRPr="004C243A">
        <w:rPr>
          <w:rFonts w:eastAsia="Times New Roman"/>
          <w:i/>
          <w:lang w:eastAsia="en-US"/>
        </w:rPr>
        <w:t>World Health Statistics 2015</w:t>
      </w:r>
      <w:r w:rsidR="007D4233" w:rsidRPr="004C243A">
        <w:rPr>
          <w:rFonts w:eastAsia="Times New Roman"/>
          <w:lang w:eastAsia="en-US"/>
        </w:rPr>
        <w:t>,</w:t>
      </w:r>
      <w:r w:rsidRPr="004C243A">
        <w:rPr>
          <w:rFonts w:eastAsia="Times New Roman"/>
          <w:lang w:eastAsia="en-US"/>
        </w:rPr>
        <w:t xml:space="preserve"> Geneva: WHO.</w:t>
      </w:r>
    </w:p>
    <w:p w14:paraId="04B2A748" w14:textId="77777777" w:rsidR="004B5322" w:rsidRPr="004C243A" w:rsidRDefault="004B5322" w:rsidP="001D6040">
      <w:pPr>
        <w:pStyle w:val="NoSpacing"/>
        <w:rPr>
          <w:lang w:eastAsia="en-US"/>
        </w:rPr>
      </w:pPr>
    </w:p>
    <w:p w14:paraId="2961DF05" w14:textId="77777777" w:rsidR="009B6D5B" w:rsidRPr="004C243A" w:rsidRDefault="009B6D5B" w:rsidP="001D6040">
      <w:pPr>
        <w:pStyle w:val="NoSpacing"/>
        <w:rPr>
          <w:lang w:eastAsia="en-US"/>
        </w:rPr>
      </w:pPr>
    </w:p>
    <w:p w14:paraId="100C13C0" w14:textId="77777777" w:rsidR="009B6D5B" w:rsidRDefault="009B6D5B" w:rsidP="001D6040">
      <w:pPr>
        <w:pStyle w:val="NoSpacing"/>
        <w:rPr>
          <w:rFonts w:eastAsia="Times New Roman"/>
          <w:lang w:eastAsia="en-US"/>
        </w:rPr>
      </w:pPr>
    </w:p>
    <w:p w14:paraId="0C125A0C" w14:textId="77777777" w:rsidR="002C1E51" w:rsidRDefault="002C1E51" w:rsidP="001D6040">
      <w:pPr>
        <w:pStyle w:val="NoSpacing"/>
        <w:rPr>
          <w:rFonts w:eastAsia="Times New Roman"/>
          <w:lang w:eastAsia="en-US"/>
        </w:rPr>
      </w:pPr>
    </w:p>
    <w:p w14:paraId="37153DAD" w14:textId="77777777" w:rsidR="002C1E51" w:rsidRDefault="002C1E51" w:rsidP="001D6040">
      <w:pPr>
        <w:pStyle w:val="NoSpacing"/>
        <w:rPr>
          <w:rFonts w:eastAsia="Times New Roman"/>
          <w:lang w:eastAsia="en-US"/>
        </w:rPr>
      </w:pPr>
    </w:p>
    <w:p w14:paraId="320D6CFA" w14:textId="77777777" w:rsidR="001D7F0C" w:rsidRDefault="001D7F0C" w:rsidP="001D6040">
      <w:pPr>
        <w:pStyle w:val="NoSpacing"/>
        <w:rPr>
          <w:rFonts w:eastAsia="Times New Roman"/>
          <w:lang w:eastAsia="en-US"/>
        </w:rPr>
      </w:pPr>
    </w:p>
    <w:p w14:paraId="481A7A60" w14:textId="77777777" w:rsidR="001D7F0C" w:rsidRDefault="001D7F0C" w:rsidP="001D6040">
      <w:pPr>
        <w:pStyle w:val="NoSpacing"/>
        <w:rPr>
          <w:rFonts w:eastAsia="Times New Roman"/>
          <w:lang w:eastAsia="en-US"/>
        </w:rPr>
      </w:pPr>
    </w:p>
    <w:p w14:paraId="3AD5A09F" w14:textId="77777777" w:rsidR="001D7F0C" w:rsidRDefault="001D7F0C" w:rsidP="001D6040">
      <w:pPr>
        <w:pStyle w:val="NoSpacing"/>
        <w:rPr>
          <w:rFonts w:eastAsia="Times New Roman"/>
          <w:lang w:eastAsia="en-US"/>
        </w:rPr>
      </w:pPr>
    </w:p>
    <w:p w14:paraId="307FD53F" w14:textId="77777777" w:rsidR="001D7F0C" w:rsidRDefault="001D7F0C" w:rsidP="001D6040">
      <w:pPr>
        <w:pStyle w:val="NoSpacing"/>
        <w:rPr>
          <w:rFonts w:eastAsia="Times New Roman"/>
          <w:lang w:eastAsia="en-US"/>
        </w:rPr>
      </w:pPr>
    </w:p>
    <w:p w14:paraId="376D2829" w14:textId="77777777" w:rsidR="002C1E51" w:rsidRDefault="002C1E51" w:rsidP="001D6040">
      <w:pPr>
        <w:pStyle w:val="NoSpacing"/>
        <w:rPr>
          <w:rFonts w:eastAsia="Times New Roman"/>
          <w:lang w:eastAsia="en-US"/>
        </w:rPr>
      </w:pPr>
    </w:p>
    <w:p w14:paraId="71AA7E7D" w14:textId="77777777" w:rsidR="002C1E51" w:rsidRDefault="002C1E51" w:rsidP="001D6040">
      <w:pPr>
        <w:pStyle w:val="NoSpacing"/>
        <w:rPr>
          <w:rFonts w:eastAsia="Times New Roman"/>
          <w:lang w:eastAsia="en-US"/>
        </w:rPr>
      </w:pPr>
    </w:p>
    <w:p w14:paraId="34C37A32" w14:textId="77777777" w:rsidR="002C1E51" w:rsidRDefault="002C1E51" w:rsidP="001D6040">
      <w:pPr>
        <w:pStyle w:val="NoSpacing"/>
        <w:rPr>
          <w:rFonts w:eastAsia="Times New Roman"/>
          <w:lang w:eastAsia="en-US"/>
        </w:rPr>
      </w:pPr>
    </w:p>
    <w:p w14:paraId="4A33A283" w14:textId="77777777" w:rsidR="002C1E51" w:rsidRDefault="002C1E51" w:rsidP="001D6040">
      <w:pPr>
        <w:pStyle w:val="NoSpacing"/>
        <w:rPr>
          <w:rFonts w:eastAsia="Times New Roman"/>
          <w:lang w:eastAsia="en-US"/>
        </w:rPr>
      </w:pPr>
    </w:p>
    <w:p w14:paraId="74999DCF" w14:textId="77777777" w:rsidR="002C1E51" w:rsidRDefault="002C1E51" w:rsidP="001D6040">
      <w:pPr>
        <w:pStyle w:val="NoSpacing"/>
        <w:rPr>
          <w:rFonts w:eastAsia="Times New Roman"/>
          <w:lang w:eastAsia="en-US"/>
        </w:rPr>
      </w:pPr>
    </w:p>
    <w:p w14:paraId="4447FE84" w14:textId="77777777" w:rsidR="002C1E51" w:rsidRDefault="002C1E51" w:rsidP="001D6040">
      <w:pPr>
        <w:pStyle w:val="NoSpacing"/>
        <w:rPr>
          <w:rFonts w:eastAsia="Times New Roman"/>
          <w:lang w:eastAsia="en-US"/>
        </w:rPr>
      </w:pPr>
    </w:p>
    <w:p w14:paraId="18FBF296" w14:textId="77777777" w:rsidR="002C1E51" w:rsidRDefault="002C1E51" w:rsidP="001D6040">
      <w:pPr>
        <w:pStyle w:val="NoSpacing"/>
        <w:rPr>
          <w:rFonts w:eastAsia="Times New Roman"/>
          <w:lang w:eastAsia="en-US"/>
        </w:rPr>
      </w:pPr>
    </w:p>
    <w:p w14:paraId="34E4B150" w14:textId="77777777" w:rsidR="002C1E51" w:rsidRDefault="002C1E51" w:rsidP="001D6040">
      <w:pPr>
        <w:pStyle w:val="NoSpacing"/>
        <w:rPr>
          <w:rFonts w:eastAsia="Times New Roman"/>
          <w:lang w:eastAsia="en-US"/>
        </w:rPr>
      </w:pPr>
    </w:p>
    <w:tbl>
      <w:tblPr>
        <w:tblStyle w:val="TableGrid"/>
        <w:tblW w:w="4332" w:type="pct"/>
        <w:tblLook w:val="04A0" w:firstRow="1" w:lastRow="0" w:firstColumn="1" w:lastColumn="0" w:noHBand="0" w:noVBand="1"/>
      </w:tblPr>
      <w:tblGrid>
        <w:gridCol w:w="2897"/>
        <w:gridCol w:w="1341"/>
        <w:gridCol w:w="1090"/>
        <w:gridCol w:w="1171"/>
        <w:gridCol w:w="1174"/>
      </w:tblGrid>
      <w:tr w:rsidR="002C1E51" w:rsidRPr="001E739D" w14:paraId="1897C897" w14:textId="77777777" w:rsidTr="00D056DA">
        <w:tc>
          <w:tcPr>
            <w:tcW w:w="5000" w:type="pct"/>
            <w:gridSpan w:val="5"/>
          </w:tcPr>
          <w:p w14:paraId="28A9E3E0" w14:textId="77777777" w:rsidR="002C1E51" w:rsidRPr="001E739D" w:rsidRDefault="002C1E51" w:rsidP="00D056DA">
            <w:pPr>
              <w:pStyle w:val="NoSpacing"/>
              <w:rPr>
                <w:sz w:val="22"/>
                <w:szCs w:val="22"/>
                <w:lang w:eastAsia="en-US"/>
              </w:rPr>
            </w:pPr>
            <w:r w:rsidRPr="001E739D">
              <w:rPr>
                <w:sz w:val="22"/>
                <w:szCs w:val="22"/>
              </w:rPr>
              <w:t xml:space="preserve">Table 1: </w:t>
            </w:r>
            <w:r w:rsidRPr="001E739D">
              <w:rPr>
                <w:sz w:val="22"/>
                <w:szCs w:val="22"/>
                <w:lang w:eastAsia="en-US"/>
              </w:rPr>
              <w:t>Fixed Effects Regression of World Bank Lending on Child Mortality using Panel Data</w:t>
            </w:r>
          </w:p>
        </w:tc>
      </w:tr>
      <w:tr w:rsidR="002C1E51" w:rsidRPr="001E739D" w14:paraId="674F1ACA" w14:textId="77777777" w:rsidTr="00D056DA">
        <w:tc>
          <w:tcPr>
            <w:tcW w:w="1888" w:type="pct"/>
          </w:tcPr>
          <w:p w14:paraId="11F715E3" w14:textId="77777777" w:rsidR="002C1E51" w:rsidRPr="001E739D" w:rsidRDefault="002C1E51" w:rsidP="00D056DA">
            <w:pPr>
              <w:tabs>
                <w:tab w:val="left" w:pos="1260"/>
              </w:tabs>
              <w:ind w:right="-65"/>
              <w:rPr>
                <w:sz w:val="22"/>
                <w:szCs w:val="22"/>
              </w:rPr>
            </w:pPr>
          </w:p>
        </w:tc>
        <w:tc>
          <w:tcPr>
            <w:tcW w:w="874" w:type="pct"/>
          </w:tcPr>
          <w:p w14:paraId="4F0F4E73" w14:textId="77777777" w:rsidR="002C1E51" w:rsidRPr="001E739D" w:rsidRDefault="002C1E51" w:rsidP="00D056DA">
            <w:pPr>
              <w:jc w:val="center"/>
              <w:rPr>
                <w:sz w:val="22"/>
                <w:szCs w:val="22"/>
              </w:rPr>
            </w:pPr>
            <w:r w:rsidRPr="001E739D">
              <w:rPr>
                <w:sz w:val="22"/>
                <w:szCs w:val="22"/>
              </w:rPr>
              <w:t>Model 1</w:t>
            </w:r>
          </w:p>
        </w:tc>
        <w:tc>
          <w:tcPr>
            <w:tcW w:w="710" w:type="pct"/>
          </w:tcPr>
          <w:p w14:paraId="19417955" w14:textId="77777777" w:rsidR="002C1E51" w:rsidRPr="001E739D" w:rsidRDefault="002C1E51" w:rsidP="00D056DA">
            <w:pPr>
              <w:jc w:val="center"/>
              <w:rPr>
                <w:sz w:val="22"/>
                <w:szCs w:val="22"/>
              </w:rPr>
            </w:pPr>
            <w:r w:rsidRPr="001E739D">
              <w:rPr>
                <w:sz w:val="22"/>
                <w:szCs w:val="22"/>
              </w:rPr>
              <w:t>Model 2</w:t>
            </w:r>
          </w:p>
        </w:tc>
        <w:tc>
          <w:tcPr>
            <w:tcW w:w="763" w:type="pct"/>
          </w:tcPr>
          <w:p w14:paraId="7FD86666" w14:textId="77777777" w:rsidR="002C1E51" w:rsidRPr="001E739D" w:rsidRDefault="002C1E51" w:rsidP="00D056DA">
            <w:pPr>
              <w:jc w:val="center"/>
              <w:rPr>
                <w:sz w:val="22"/>
                <w:szCs w:val="22"/>
              </w:rPr>
            </w:pPr>
            <w:r w:rsidRPr="001E739D">
              <w:rPr>
                <w:sz w:val="22"/>
                <w:szCs w:val="22"/>
              </w:rPr>
              <w:t>Model 3</w:t>
            </w:r>
          </w:p>
        </w:tc>
        <w:tc>
          <w:tcPr>
            <w:tcW w:w="765" w:type="pct"/>
          </w:tcPr>
          <w:p w14:paraId="2BDD63EC" w14:textId="77777777" w:rsidR="002C1E51" w:rsidRPr="001E739D" w:rsidRDefault="002C1E51" w:rsidP="00D056DA">
            <w:pPr>
              <w:jc w:val="center"/>
              <w:rPr>
                <w:sz w:val="22"/>
                <w:szCs w:val="22"/>
              </w:rPr>
            </w:pPr>
            <w:r w:rsidRPr="001E739D">
              <w:rPr>
                <w:sz w:val="22"/>
                <w:szCs w:val="22"/>
              </w:rPr>
              <w:t>Model 4</w:t>
            </w:r>
          </w:p>
        </w:tc>
      </w:tr>
      <w:tr w:rsidR="002C1E51" w:rsidRPr="001E739D" w14:paraId="39ACB0DC" w14:textId="77777777" w:rsidTr="00D056DA">
        <w:tc>
          <w:tcPr>
            <w:tcW w:w="1888" w:type="pct"/>
          </w:tcPr>
          <w:p w14:paraId="60C3B137" w14:textId="77777777" w:rsidR="002C1E51" w:rsidRPr="001E739D" w:rsidRDefault="002C1E51" w:rsidP="00D056DA">
            <w:pPr>
              <w:rPr>
                <w:sz w:val="22"/>
                <w:szCs w:val="22"/>
              </w:rPr>
            </w:pPr>
          </w:p>
        </w:tc>
        <w:tc>
          <w:tcPr>
            <w:tcW w:w="874" w:type="pct"/>
          </w:tcPr>
          <w:p w14:paraId="4E727228" w14:textId="77777777" w:rsidR="002C1E51" w:rsidRPr="001E739D" w:rsidRDefault="002C1E51" w:rsidP="00D056DA">
            <w:pPr>
              <w:jc w:val="center"/>
              <w:rPr>
                <w:sz w:val="22"/>
                <w:szCs w:val="22"/>
              </w:rPr>
            </w:pPr>
            <w:r w:rsidRPr="001E739D">
              <w:rPr>
                <w:sz w:val="22"/>
                <w:szCs w:val="22"/>
              </w:rPr>
              <w:t>Coef</w:t>
            </w:r>
          </w:p>
          <w:p w14:paraId="179246F2" w14:textId="77777777" w:rsidR="002C1E51" w:rsidRPr="001E739D" w:rsidRDefault="002C1E51" w:rsidP="00D056DA">
            <w:pPr>
              <w:jc w:val="center"/>
              <w:rPr>
                <w:sz w:val="22"/>
                <w:szCs w:val="22"/>
              </w:rPr>
            </w:pPr>
            <w:r w:rsidRPr="001E739D">
              <w:rPr>
                <w:sz w:val="22"/>
                <w:szCs w:val="22"/>
              </w:rPr>
              <w:t>(se)</w:t>
            </w:r>
          </w:p>
        </w:tc>
        <w:tc>
          <w:tcPr>
            <w:tcW w:w="710" w:type="pct"/>
          </w:tcPr>
          <w:p w14:paraId="61B8604B" w14:textId="77777777" w:rsidR="002C1E51" w:rsidRPr="001E739D" w:rsidRDefault="002C1E51" w:rsidP="00D056DA">
            <w:pPr>
              <w:jc w:val="center"/>
              <w:rPr>
                <w:sz w:val="22"/>
                <w:szCs w:val="22"/>
              </w:rPr>
            </w:pPr>
            <w:r w:rsidRPr="001E739D">
              <w:rPr>
                <w:sz w:val="22"/>
                <w:szCs w:val="22"/>
              </w:rPr>
              <w:t>Coef</w:t>
            </w:r>
          </w:p>
          <w:p w14:paraId="795307CA" w14:textId="77777777" w:rsidR="002C1E51" w:rsidRPr="001E739D" w:rsidRDefault="002C1E51" w:rsidP="00D056DA">
            <w:pPr>
              <w:jc w:val="center"/>
              <w:rPr>
                <w:sz w:val="22"/>
                <w:szCs w:val="22"/>
              </w:rPr>
            </w:pPr>
            <w:r w:rsidRPr="001E739D">
              <w:rPr>
                <w:sz w:val="22"/>
                <w:szCs w:val="22"/>
              </w:rPr>
              <w:t>(se)</w:t>
            </w:r>
          </w:p>
        </w:tc>
        <w:tc>
          <w:tcPr>
            <w:tcW w:w="763" w:type="pct"/>
          </w:tcPr>
          <w:p w14:paraId="015EDBD4" w14:textId="77777777" w:rsidR="002C1E51" w:rsidRPr="001E739D" w:rsidRDefault="002C1E51" w:rsidP="00D056DA">
            <w:pPr>
              <w:jc w:val="center"/>
              <w:rPr>
                <w:sz w:val="22"/>
                <w:szCs w:val="22"/>
              </w:rPr>
            </w:pPr>
            <w:r w:rsidRPr="001E739D">
              <w:rPr>
                <w:sz w:val="22"/>
                <w:szCs w:val="22"/>
              </w:rPr>
              <w:t>Coef</w:t>
            </w:r>
          </w:p>
          <w:p w14:paraId="2F2408D7" w14:textId="77777777" w:rsidR="002C1E51" w:rsidRPr="001E739D" w:rsidRDefault="002C1E51" w:rsidP="00D056DA">
            <w:pPr>
              <w:jc w:val="center"/>
              <w:rPr>
                <w:sz w:val="22"/>
                <w:szCs w:val="22"/>
              </w:rPr>
            </w:pPr>
            <w:r w:rsidRPr="001E739D">
              <w:rPr>
                <w:sz w:val="22"/>
                <w:szCs w:val="22"/>
              </w:rPr>
              <w:t>(se)</w:t>
            </w:r>
          </w:p>
        </w:tc>
        <w:tc>
          <w:tcPr>
            <w:tcW w:w="765" w:type="pct"/>
          </w:tcPr>
          <w:p w14:paraId="1473FC1F" w14:textId="77777777" w:rsidR="002C1E51" w:rsidRPr="001E739D" w:rsidRDefault="002C1E51" w:rsidP="00D056DA">
            <w:pPr>
              <w:jc w:val="center"/>
              <w:rPr>
                <w:sz w:val="22"/>
                <w:szCs w:val="22"/>
              </w:rPr>
            </w:pPr>
            <w:r w:rsidRPr="001E739D">
              <w:rPr>
                <w:sz w:val="22"/>
                <w:szCs w:val="22"/>
              </w:rPr>
              <w:t>Coef</w:t>
            </w:r>
          </w:p>
          <w:p w14:paraId="409BF256" w14:textId="77777777" w:rsidR="002C1E51" w:rsidRPr="001E739D" w:rsidRDefault="002C1E51" w:rsidP="00D056DA">
            <w:pPr>
              <w:jc w:val="center"/>
              <w:rPr>
                <w:sz w:val="22"/>
                <w:szCs w:val="22"/>
              </w:rPr>
            </w:pPr>
            <w:r w:rsidRPr="001E739D">
              <w:rPr>
                <w:sz w:val="22"/>
                <w:szCs w:val="22"/>
              </w:rPr>
              <w:t>(se)</w:t>
            </w:r>
          </w:p>
        </w:tc>
      </w:tr>
      <w:tr w:rsidR="002C1E51" w:rsidRPr="001E739D" w14:paraId="0A1CA385" w14:textId="77777777" w:rsidTr="00D056DA">
        <w:tc>
          <w:tcPr>
            <w:tcW w:w="1888" w:type="pct"/>
          </w:tcPr>
          <w:p w14:paraId="3109C163" w14:textId="77777777" w:rsidR="002C1E51" w:rsidRPr="001E739D" w:rsidRDefault="002C1E51" w:rsidP="00D056DA">
            <w:pPr>
              <w:rPr>
                <w:sz w:val="22"/>
                <w:szCs w:val="22"/>
              </w:rPr>
            </w:pPr>
            <w:r w:rsidRPr="001E739D">
              <w:rPr>
                <w:sz w:val="22"/>
                <w:szCs w:val="22"/>
              </w:rPr>
              <w:t>WB Lending (t-3)</w:t>
            </w:r>
          </w:p>
        </w:tc>
        <w:tc>
          <w:tcPr>
            <w:tcW w:w="874" w:type="pct"/>
          </w:tcPr>
          <w:p w14:paraId="5E4CC828" w14:textId="77777777" w:rsidR="002C1E51" w:rsidRPr="001E739D" w:rsidRDefault="002C1E51" w:rsidP="00D056DA">
            <w:pPr>
              <w:jc w:val="center"/>
              <w:rPr>
                <w:sz w:val="22"/>
                <w:szCs w:val="22"/>
              </w:rPr>
            </w:pPr>
            <w:r w:rsidRPr="001E739D">
              <w:rPr>
                <w:sz w:val="22"/>
                <w:szCs w:val="22"/>
              </w:rPr>
              <w:t>-.007**</w:t>
            </w:r>
          </w:p>
          <w:p w14:paraId="42A79487" w14:textId="77777777" w:rsidR="002C1E51" w:rsidRPr="001E739D" w:rsidRDefault="002C1E51" w:rsidP="00D056DA">
            <w:pPr>
              <w:jc w:val="center"/>
              <w:rPr>
                <w:sz w:val="22"/>
                <w:szCs w:val="22"/>
              </w:rPr>
            </w:pPr>
            <w:r w:rsidRPr="001E739D">
              <w:rPr>
                <w:sz w:val="22"/>
                <w:szCs w:val="22"/>
              </w:rPr>
              <w:t>(.002)</w:t>
            </w:r>
          </w:p>
        </w:tc>
        <w:tc>
          <w:tcPr>
            <w:tcW w:w="710" w:type="pct"/>
          </w:tcPr>
          <w:p w14:paraId="31F9CB65" w14:textId="77777777" w:rsidR="002C1E51" w:rsidRPr="001E739D" w:rsidRDefault="002C1E51" w:rsidP="00D056DA">
            <w:pPr>
              <w:jc w:val="center"/>
              <w:rPr>
                <w:sz w:val="22"/>
                <w:szCs w:val="22"/>
              </w:rPr>
            </w:pPr>
          </w:p>
        </w:tc>
        <w:tc>
          <w:tcPr>
            <w:tcW w:w="763" w:type="pct"/>
          </w:tcPr>
          <w:p w14:paraId="56FCBF0D" w14:textId="77777777" w:rsidR="002C1E51" w:rsidRPr="001E739D" w:rsidRDefault="002C1E51" w:rsidP="00D056DA">
            <w:pPr>
              <w:jc w:val="center"/>
              <w:rPr>
                <w:sz w:val="22"/>
                <w:szCs w:val="22"/>
              </w:rPr>
            </w:pPr>
          </w:p>
        </w:tc>
        <w:tc>
          <w:tcPr>
            <w:tcW w:w="765" w:type="pct"/>
          </w:tcPr>
          <w:p w14:paraId="393A3C00" w14:textId="77777777" w:rsidR="002C1E51" w:rsidRPr="001E739D" w:rsidRDefault="002C1E51" w:rsidP="00D056DA">
            <w:pPr>
              <w:jc w:val="center"/>
              <w:rPr>
                <w:sz w:val="22"/>
                <w:szCs w:val="22"/>
              </w:rPr>
            </w:pPr>
          </w:p>
        </w:tc>
      </w:tr>
      <w:tr w:rsidR="002C1E51" w:rsidRPr="001E739D" w14:paraId="312679B3" w14:textId="77777777" w:rsidTr="00D056DA">
        <w:tc>
          <w:tcPr>
            <w:tcW w:w="1888" w:type="pct"/>
          </w:tcPr>
          <w:p w14:paraId="07B9DECA" w14:textId="77777777" w:rsidR="002C1E51" w:rsidRPr="001E739D" w:rsidRDefault="002C1E51" w:rsidP="00D056DA">
            <w:pPr>
              <w:rPr>
                <w:sz w:val="22"/>
                <w:szCs w:val="22"/>
              </w:rPr>
            </w:pPr>
            <w:r w:rsidRPr="001E739D">
              <w:rPr>
                <w:sz w:val="22"/>
                <w:szCs w:val="22"/>
              </w:rPr>
              <w:t>IMF Lending (t-3)</w:t>
            </w:r>
          </w:p>
        </w:tc>
        <w:tc>
          <w:tcPr>
            <w:tcW w:w="874" w:type="pct"/>
          </w:tcPr>
          <w:p w14:paraId="00A4AB13" w14:textId="77777777" w:rsidR="002C1E51" w:rsidRPr="001E739D" w:rsidRDefault="002C1E51" w:rsidP="00D056DA">
            <w:pPr>
              <w:jc w:val="center"/>
              <w:rPr>
                <w:sz w:val="22"/>
                <w:szCs w:val="22"/>
              </w:rPr>
            </w:pPr>
            <w:r w:rsidRPr="001E739D">
              <w:rPr>
                <w:sz w:val="22"/>
                <w:szCs w:val="22"/>
              </w:rPr>
              <w:t>-.0007</w:t>
            </w:r>
          </w:p>
          <w:p w14:paraId="4843BA83" w14:textId="77777777" w:rsidR="002C1E51" w:rsidRPr="001E739D" w:rsidRDefault="002C1E51" w:rsidP="00D056DA">
            <w:pPr>
              <w:jc w:val="center"/>
              <w:rPr>
                <w:sz w:val="22"/>
                <w:szCs w:val="22"/>
              </w:rPr>
            </w:pPr>
            <w:r w:rsidRPr="001E739D">
              <w:rPr>
                <w:sz w:val="22"/>
                <w:szCs w:val="22"/>
              </w:rPr>
              <w:t>(.0004)</w:t>
            </w:r>
          </w:p>
        </w:tc>
        <w:tc>
          <w:tcPr>
            <w:tcW w:w="710" w:type="pct"/>
          </w:tcPr>
          <w:p w14:paraId="69571FC9" w14:textId="77777777" w:rsidR="002C1E51" w:rsidRPr="001E739D" w:rsidRDefault="002C1E51" w:rsidP="00D056DA">
            <w:pPr>
              <w:jc w:val="center"/>
              <w:rPr>
                <w:sz w:val="22"/>
                <w:szCs w:val="22"/>
              </w:rPr>
            </w:pPr>
          </w:p>
        </w:tc>
        <w:tc>
          <w:tcPr>
            <w:tcW w:w="763" w:type="pct"/>
          </w:tcPr>
          <w:p w14:paraId="4E6B5269" w14:textId="77777777" w:rsidR="002C1E51" w:rsidRPr="001E739D" w:rsidRDefault="002C1E51" w:rsidP="00D056DA">
            <w:pPr>
              <w:jc w:val="center"/>
              <w:rPr>
                <w:sz w:val="22"/>
                <w:szCs w:val="22"/>
              </w:rPr>
            </w:pPr>
          </w:p>
        </w:tc>
        <w:tc>
          <w:tcPr>
            <w:tcW w:w="765" w:type="pct"/>
          </w:tcPr>
          <w:p w14:paraId="064571AC" w14:textId="77777777" w:rsidR="002C1E51" w:rsidRPr="001E739D" w:rsidRDefault="002C1E51" w:rsidP="00D056DA">
            <w:pPr>
              <w:jc w:val="center"/>
              <w:rPr>
                <w:sz w:val="22"/>
                <w:szCs w:val="22"/>
              </w:rPr>
            </w:pPr>
          </w:p>
        </w:tc>
      </w:tr>
      <w:tr w:rsidR="002C1E51" w:rsidRPr="001E739D" w14:paraId="40E89A32" w14:textId="77777777" w:rsidTr="00D056DA">
        <w:tc>
          <w:tcPr>
            <w:tcW w:w="1888" w:type="pct"/>
          </w:tcPr>
          <w:p w14:paraId="2C1793EE" w14:textId="77777777" w:rsidR="002C1E51" w:rsidRPr="001E739D" w:rsidRDefault="002C1E51" w:rsidP="00D056DA">
            <w:pPr>
              <w:rPr>
                <w:sz w:val="22"/>
                <w:szCs w:val="22"/>
              </w:rPr>
            </w:pPr>
            <w:r w:rsidRPr="001E739D">
              <w:rPr>
                <w:sz w:val="22"/>
                <w:szCs w:val="22"/>
              </w:rPr>
              <w:t>WB IBRD (t-3)</w:t>
            </w:r>
          </w:p>
        </w:tc>
        <w:tc>
          <w:tcPr>
            <w:tcW w:w="874" w:type="pct"/>
          </w:tcPr>
          <w:p w14:paraId="1F92EB61" w14:textId="77777777" w:rsidR="002C1E51" w:rsidRPr="001E739D" w:rsidRDefault="002C1E51" w:rsidP="00D056DA">
            <w:pPr>
              <w:jc w:val="center"/>
              <w:rPr>
                <w:sz w:val="22"/>
                <w:szCs w:val="22"/>
              </w:rPr>
            </w:pPr>
          </w:p>
        </w:tc>
        <w:tc>
          <w:tcPr>
            <w:tcW w:w="710" w:type="pct"/>
          </w:tcPr>
          <w:p w14:paraId="625C9A83" w14:textId="77777777" w:rsidR="002C1E51" w:rsidRPr="001E739D" w:rsidRDefault="002C1E51" w:rsidP="00D056DA">
            <w:pPr>
              <w:jc w:val="center"/>
              <w:rPr>
                <w:sz w:val="22"/>
                <w:szCs w:val="22"/>
              </w:rPr>
            </w:pPr>
            <w:r w:rsidRPr="001E739D">
              <w:rPr>
                <w:sz w:val="22"/>
                <w:szCs w:val="22"/>
              </w:rPr>
              <w:t>.003#</w:t>
            </w:r>
          </w:p>
          <w:p w14:paraId="15A08F39" w14:textId="77777777" w:rsidR="002C1E51" w:rsidRPr="001E739D" w:rsidRDefault="002C1E51" w:rsidP="00D056DA">
            <w:pPr>
              <w:jc w:val="center"/>
              <w:rPr>
                <w:sz w:val="22"/>
                <w:szCs w:val="22"/>
              </w:rPr>
            </w:pPr>
            <w:r w:rsidRPr="001E739D">
              <w:rPr>
                <w:sz w:val="22"/>
                <w:szCs w:val="22"/>
              </w:rPr>
              <w:t>(.002)</w:t>
            </w:r>
          </w:p>
        </w:tc>
        <w:tc>
          <w:tcPr>
            <w:tcW w:w="763" w:type="pct"/>
          </w:tcPr>
          <w:p w14:paraId="4BA34C4E" w14:textId="77777777" w:rsidR="002C1E51" w:rsidRPr="001E739D" w:rsidRDefault="002C1E51" w:rsidP="00D056DA">
            <w:pPr>
              <w:jc w:val="center"/>
              <w:rPr>
                <w:sz w:val="22"/>
                <w:szCs w:val="22"/>
              </w:rPr>
            </w:pPr>
          </w:p>
        </w:tc>
        <w:tc>
          <w:tcPr>
            <w:tcW w:w="765" w:type="pct"/>
          </w:tcPr>
          <w:p w14:paraId="52B33AEE" w14:textId="77777777" w:rsidR="002C1E51" w:rsidRPr="001E739D" w:rsidRDefault="002C1E51" w:rsidP="00D056DA">
            <w:pPr>
              <w:jc w:val="center"/>
              <w:rPr>
                <w:sz w:val="22"/>
                <w:szCs w:val="22"/>
              </w:rPr>
            </w:pPr>
          </w:p>
        </w:tc>
      </w:tr>
      <w:tr w:rsidR="002C1E51" w:rsidRPr="001E739D" w14:paraId="1C5BCE9E" w14:textId="77777777" w:rsidTr="00D056DA">
        <w:tc>
          <w:tcPr>
            <w:tcW w:w="1888" w:type="pct"/>
          </w:tcPr>
          <w:p w14:paraId="367052EC" w14:textId="77777777" w:rsidR="002C1E51" w:rsidRPr="001E739D" w:rsidRDefault="002C1E51" w:rsidP="00D056DA">
            <w:pPr>
              <w:rPr>
                <w:sz w:val="22"/>
                <w:szCs w:val="22"/>
              </w:rPr>
            </w:pPr>
            <w:r w:rsidRPr="001E739D">
              <w:rPr>
                <w:sz w:val="22"/>
                <w:szCs w:val="22"/>
              </w:rPr>
              <w:t>WB IDA (t-3)</w:t>
            </w:r>
          </w:p>
        </w:tc>
        <w:tc>
          <w:tcPr>
            <w:tcW w:w="874" w:type="pct"/>
          </w:tcPr>
          <w:p w14:paraId="0E29EAA6" w14:textId="77777777" w:rsidR="002C1E51" w:rsidRPr="001E739D" w:rsidRDefault="002C1E51" w:rsidP="00D056DA">
            <w:pPr>
              <w:jc w:val="center"/>
              <w:rPr>
                <w:sz w:val="22"/>
                <w:szCs w:val="22"/>
              </w:rPr>
            </w:pPr>
          </w:p>
        </w:tc>
        <w:tc>
          <w:tcPr>
            <w:tcW w:w="710" w:type="pct"/>
          </w:tcPr>
          <w:p w14:paraId="791B9DA5" w14:textId="77777777" w:rsidR="002C1E51" w:rsidRPr="001E739D" w:rsidRDefault="002C1E51" w:rsidP="00D056DA">
            <w:pPr>
              <w:jc w:val="center"/>
              <w:rPr>
                <w:sz w:val="22"/>
                <w:szCs w:val="22"/>
              </w:rPr>
            </w:pPr>
            <w:r w:rsidRPr="001E739D">
              <w:rPr>
                <w:sz w:val="22"/>
                <w:szCs w:val="22"/>
              </w:rPr>
              <w:t>-.009**</w:t>
            </w:r>
          </w:p>
          <w:p w14:paraId="337BBDC0" w14:textId="77777777" w:rsidR="002C1E51" w:rsidRPr="001E739D" w:rsidRDefault="002C1E51" w:rsidP="00D056DA">
            <w:pPr>
              <w:jc w:val="center"/>
              <w:rPr>
                <w:sz w:val="22"/>
                <w:szCs w:val="22"/>
              </w:rPr>
            </w:pPr>
            <w:r w:rsidRPr="001E739D">
              <w:rPr>
                <w:sz w:val="22"/>
                <w:szCs w:val="22"/>
              </w:rPr>
              <w:t>(.003)</w:t>
            </w:r>
          </w:p>
        </w:tc>
        <w:tc>
          <w:tcPr>
            <w:tcW w:w="763" w:type="pct"/>
          </w:tcPr>
          <w:p w14:paraId="2D2B3D80" w14:textId="77777777" w:rsidR="002C1E51" w:rsidRPr="001E739D" w:rsidRDefault="002C1E51" w:rsidP="00D056DA">
            <w:pPr>
              <w:jc w:val="center"/>
              <w:rPr>
                <w:sz w:val="22"/>
                <w:szCs w:val="22"/>
              </w:rPr>
            </w:pPr>
          </w:p>
        </w:tc>
        <w:tc>
          <w:tcPr>
            <w:tcW w:w="765" w:type="pct"/>
          </w:tcPr>
          <w:p w14:paraId="6EE32DAA" w14:textId="77777777" w:rsidR="002C1E51" w:rsidRPr="001E739D" w:rsidRDefault="002C1E51" w:rsidP="00D056DA">
            <w:pPr>
              <w:jc w:val="center"/>
              <w:rPr>
                <w:sz w:val="22"/>
                <w:szCs w:val="22"/>
              </w:rPr>
            </w:pPr>
          </w:p>
        </w:tc>
      </w:tr>
      <w:tr w:rsidR="002C1E51" w:rsidRPr="001E739D" w14:paraId="5E19F833" w14:textId="77777777" w:rsidTr="00D056DA">
        <w:tc>
          <w:tcPr>
            <w:tcW w:w="1888" w:type="pct"/>
          </w:tcPr>
          <w:p w14:paraId="0912409E" w14:textId="77777777" w:rsidR="002C1E51" w:rsidRPr="001E739D" w:rsidRDefault="002C1E51" w:rsidP="00D056DA">
            <w:pPr>
              <w:rPr>
                <w:sz w:val="22"/>
                <w:szCs w:val="22"/>
              </w:rPr>
            </w:pPr>
            <w:r w:rsidRPr="001E739D">
              <w:rPr>
                <w:sz w:val="22"/>
                <w:szCs w:val="22"/>
              </w:rPr>
              <w:t>IMF Concessional (t-3)</w:t>
            </w:r>
          </w:p>
        </w:tc>
        <w:tc>
          <w:tcPr>
            <w:tcW w:w="874" w:type="pct"/>
          </w:tcPr>
          <w:p w14:paraId="1C45B03D" w14:textId="77777777" w:rsidR="002C1E51" w:rsidRPr="001E739D" w:rsidRDefault="002C1E51" w:rsidP="00D056DA">
            <w:pPr>
              <w:jc w:val="center"/>
              <w:rPr>
                <w:sz w:val="22"/>
                <w:szCs w:val="22"/>
              </w:rPr>
            </w:pPr>
          </w:p>
        </w:tc>
        <w:tc>
          <w:tcPr>
            <w:tcW w:w="710" w:type="pct"/>
          </w:tcPr>
          <w:p w14:paraId="3886C889" w14:textId="77777777" w:rsidR="002C1E51" w:rsidRPr="001E739D" w:rsidRDefault="002C1E51" w:rsidP="00D056DA">
            <w:pPr>
              <w:jc w:val="center"/>
              <w:rPr>
                <w:sz w:val="22"/>
                <w:szCs w:val="22"/>
              </w:rPr>
            </w:pPr>
            <w:r w:rsidRPr="001E739D">
              <w:rPr>
                <w:sz w:val="22"/>
                <w:szCs w:val="22"/>
              </w:rPr>
              <w:t>-.0007</w:t>
            </w:r>
          </w:p>
          <w:p w14:paraId="25C80856" w14:textId="77777777" w:rsidR="002C1E51" w:rsidRPr="001E739D" w:rsidRDefault="002C1E51" w:rsidP="00D056DA">
            <w:pPr>
              <w:jc w:val="center"/>
              <w:rPr>
                <w:sz w:val="22"/>
                <w:szCs w:val="22"/>
              </w:rPr>
            </w:pPr>
            <w:r w:rsidRPr="001E739D">
              <w:rPr>
                <w:sz w:val="22"/>
                <w:szCs w:val="22"/>
              </w:rPr>
              <w:t>(.0005)</w:t>
            </w:r>
          </w:p>
        </w:tc>
        <w:tc>
          <w:tcPr>
            <w:tcW w:w="763" w:type="pct"/>
          </w:tcPr>
          <w:p w14:paraId="05F4998C" w14:textId="77777777" w:rsidR="002C1E51" w:rsidRPr="001E739D" w:rsidRDefault="002C1E51" w:rsidP="00D056DA">
            <w:pPr>
              <w:jc w:val="center"/>
              <w:rPr>
                <w:sz w:val="22"/>
                <w:szCs w:val="22"/>
              </w:rPr>
            </w:pPr>
          </w:p>
        </w:tc>
        <w:tc>
          <w:tcPr>
            <w:tcW w:w="765" w:type="pct"/>
          </w:tcPr>
          <w:p w14:paraId="13B33C38" w14:textId="77777777" w:rsidR="002C1E51" w:rsidRPr="001E739D" w:rsidRDefault="002C1E51" w:rsidP="00D056DA">
            <w:pPr>
              <w:jc w:val="center"/>
              <w:rPr>
                <w:sz w:val="22"/>
                <w:szCs w:val="22"/>
              </w:rPr>
            </w:pPr>
          </w:p>
        </w:tc>
      </w:tr>
      <w:tr w:rsidR="002C1E51" w:rsidRPr="001E739D" w14:paraId="5B0B2675" w14:textId="77777777" w:rsidTr="00D056DA">
        <w:tc>
          <w:tcPr>
            <w:tcW w:w="1888" w:type="pct"/>
          </w:tcPr>
          <w:p w14:paraId="25539DC9" w14:textId="77777777" w:rsidR="002C1E51" w:rsidRPr="001E739D" w:rsidRDefault="002C1E51" w:rsidP="00D056DA">
            <w:pPr>
              <w:rPr>
                <w:sz w:val="22"/>
                <w:szCs w:val="22"/>
              </w:rPr>
            </w:pPr>
            <w:r w:rsidRPr="001E739D">
              <w:rPr>
                <w:sz w:val="22"/>
                <w:szCs w:val="22"/>
              </w:rPr>
              <w:t>IMF Non-Concessional (t-3)</w:t>
            </w:r>
          </w:p>
        </w:tc>
        <w:tc>
          <w:tcPr>
            <w:tcW w:w="874" w:type="pct"/>
          </w:tcPr>
          <w:p w14:paraId="13D8F905" w14:textId="77777777" w:rsidR="002C1E51" w:rsidRPr="001E739D" w:rsidRDefault="002C1E51" w:rsidP="00D056DA">
            <w:pPr>
              <w:jc w:val="center"/>
              <w:rPr>
                <w:sz w:val="22"/>
                <w:szCs w:val="22"/>
              </w:rPr>
            </w:pPr>
          </w:p>
        </w:tc>
        <w:tc>
          <w:tcPr>
            <w:tcW w:w="710" w:type="pct"/>
          </w:tcPr>
          <w:p w14:paraId="05D5F5DC" w14:textId="77777777" w:rsidR="002C1E51" w:rsidRPr="001E739D" w:rsidRDefault="002C1E51" w:rsidP="00D056DA">
            <w:pPr>
              <w:jc w:val="center"/>
              <w:rPr>
                <w:sz w:val="22"/>
                <w:szCs w:val="22"/>
              </w:rPr>
            </w:pPr>
            <w:r w:rsidRPr="001E739D">
              <w:rPr>
                <w:sz w:val="22"/>
                <w:szCs w:val="22"/>
              </w:rPr>
              <w:t>-.0003</w:t>
            </w:r>
          </w:p>
          <w:p w14:paraId="7C459F82" w14:textId="77777777" w:rsidR="002C1E51" w:rsidRPr="001E739D" w:rsidRDefault="002C1E51" w:rsidP="00D056DA">
            <w:pPr>
              <w:jc w:val="center"/>
              <w:rPr>
                <w:sz w:val="22"/>
                <w:szCs w:val="22"/>
              </w:rPr>
            </w:pPr>
            <w:r w:rsidRPr="001E739D">
              <w:rPr>
                <w:sz w:val="22"/>
                <w:szCs w:val="22"/>
              </w:rPr>
              <w:t>(.0005)</w:t>
            </w:r>
          </w:p>
        </w:tc>
        <w:tc>
          <w:tcPr>
            <w:tcW w:w="763" w:type="pct"/>
          </w:tcPr>
          <w:p w14:paraId="16052CF9" w14:textId="77777777" w:rsidR="002C1E51" w:rsidRPr="001E739D" w:rsidRDefault="002C1E51" w:rsidP="00D056DA">
            <w:pPr>
              <w:jc w:val="center"/>
              <w:rPr>
                <w:sz w:val="22"/>
                <w:szCs w:val="22"/>
              </w:rPr>
            </w:pPr>
          </w:p>
        </w:tc>
        <w:tc>
          <w:tcPr>
            <w:tcW w:w="765" w:type="pct"/>
          </w:tcPr>
          <w:p w14:paraId="5F9B11EA" w14:textId="77777777" w:rsidR="002C1E51" w:rsidRPr="001E739D" w:rsidRDefault="002C1E51" w:rsidP="00D056DA">
            <w:pPr>
              <w:jc w:val="center"/>
              <w:rPr>
                <w:sz w:val="22"/>
                <w:szCs w:val="22"/>
              </w:rPr>
            </w:pPr>
          </w:p>
        </w:tc>
      </w:tr>
      <w:tr w:rsidR="002C1E51" w:rsidRPr="001E739D" w14:paraId="18A5D137" w14:textId="77777777" w:rsidTr="00D056DA">
        <w:tc>
          <w:tcPr>
            <w:tcW w:w="1888" w:type="pct"/>
          </w:tcPr>
          <w:p w14:paraId="55CF3849" w14:textId="77777777" w:rsidR="002C1E51" w:rsidRPr="001E739D" w:rsidRDefault="002C1E51" w:rsidP="00D056DA">
            <w:pPr>
              <w:rPr>
                <w:sz w:val="22"/>
                <w:szCs w:val="22"/>
              </w:rPr>
            </w:pPr>
            <w:r w:rsidRPr="001E739D">
              <w:rPr>
                <w:sz w:val="22"/>
                <w:szCs w:val="22"/>
              </w:rPr>
              <w:t>WB Lending (t-5)</w:t>
            </w:r>
          </w:p>
        </w:tc>
        <w:tc>
          <w:tcPr>
            <w:tcW w:w="874" w:type="pct"/>
          </w:tcPr>
          <w:p w14:paraId="09AF23F0" w14:textId="77777777" w:rsidR="002C1E51" w:rsidRPr="001E739D" w:rsidRDefault="002C1E51" w:rsidP="00D056DA">
            <w:pPr>
              <w:jc w:val="center"/>
              <w:rPr>
                <w:sz w:val="22"/>
                <w:szCs w:val="22"/>
              </w:rPr>
            </w:pPr>
          </w:p>
        </w:tc>
        <w:tc>
          <w:tcPr>
            <w:tcW w:w="710" w:type="pct"/>
          </w:tcPr>
          <w:p w14:paraId="1F025261" w14:textId="77777777" w:rsidR="002C1E51" w:rsidRPr="001E739D" w:rsidRDefault="002C1E51" w:rsidP="00D056DA">
            <w:pPr>
              <w:jc w:val="center"/>
              <w:rPr>
                <w:sz w:val="22"/>
                <w:szCs w:val="22"/>
              </w:rPr>
            </w:pPr>
          </w:p>
        </w:tc>
        <w:tc>
          <w:tcPr>
            <w:tcW w:w="763" w:type="pct"/>
          </w:tcPr>
          <w:p w14:paraId="371F22D0" w14:textId="77777777" w:rsidR="002C1E51" w:rsidRPr="001E739D" w:rsidRDefault="002C1E51" w:rsidP="00D056DA">
            <w:pPr>
              <w:jc w:val="center"/>
              <w:rPr>
                <w:sz w:val="22"/>
                <w:szCs w:val="22"/>
              </w:rPr>
            </w:pPr>
            <w:r w:rsidRPr="001E739D">
              <w:rPr>
                <w:sz w:val="22"/>
                <w:szCs w:val="22"/>
              </w:rPr>
              <w:t>-.009***</w:t>
            </w:r>
          </w:p>
          <w:p w14:paraId="40875BA8" w14:textId="77777777" w:rsidR="002C1E51" w:rsidRPr="001E739D" w:rsidRDefault="002C1E51" w:rsidP="00D056DA">
            <w:pPr>
              <w:jc w:val="center"/>
              <w:rPr>
                <w:sz w:val="22"/>
                <w:szCs w:val="22"/>
              </w:rPr>
            </w:pPr>
            <w:r w:rsidRPr="001E739D">
              <w:rPr>
                <w:sz w:val="22"/>
                <w:szCs w:val="22"/>
              </w:rPr>
              <w:t>(.002)</w:t>
            </w:r>
          </w:p>
        </w:tc>
        <w:tc>
          <w:tcPr>
            <w:tcW w:w="765" w:type="pct"/>
          </w:tcPr>
          <w:p w14:paraId="23D40A8F" w14:textId="77777777" w:rsidR="002C1E51" w:rsidRPr="001E739D" w:rsidRDefault="002C1E51" w:rsidP="00D056DA">
            <w:pPr>
              <w:jc w:val="center"/>
              <w:rPr>
                <w:sz w:val="22"/>
                <w:szCs w:val="22"/>
              </w:rPr>
            </w:pPr>
          </w:p>
        </w:tc>
      </w:tr>
      <w:tr w:rsidR="002C1E51" w:rsidRPr="001E739D" w14:paraId="259C2246" w14:textId="77777777" w:rsidTr="00D056DA">
        <w:tc>
          <w:tcPr>
            <w:tcW w:w="1888" w:type="pct"/>
          </w:tcPr>
          <w:p w14:paraId="2C57E67A" w14:textId="77777777" w:rsidR="002C1E51" w:rsidRPr="001E739D" w:rsidRDefault="002C1E51" w:rsidP="00D056DA">
            <w:pPr>
              <w:rPr>
                <w:sz w:val="22"/>
                <w:szCs w:val="22"/>
              </w:rPr>
            </w:pPr>
            <w:r w:rsidRPr="001E739D">
              <w:rPr>
                <w:sz w:val="22"/>
                <w:szCs w:val="22"/>
              </w:rPr>
              <w:t>IMF Lending (t-5)</w:t>
            </w:r>
          </w:p>
        </w:tc>
        <w:tc>
          <w:tcPr>
            <w:tcW w:w="874" w:type="pct"/>
          </w:tcPr>
          <w:p w14:paraId="43319257" w14:textId="77777777" w:rsidR="002C1E51" w:rsidRPr="001E739D" w:rsidRDefault="002C1E51" w:rsidP="00D056DA">
            <w:pPr>
              <w:jc w:val="center"/>
              <w:rPr>
                <w:sz w:val="22"/>
                <w:szCs w:val="22"/>
              </w:rPr>
            </w:pPr>
          </w:p>
        </w:tc>
        <w:tc>
          <w:tcPr>
            <w:tcW w:w="710" w:type="pct"/>
          </w:tcPr>
          <w:p w14:paraId="5FC7DA09" w14:textId="77777777" w:rsidR="002C1E51" w:rsidRPr="001E739D" w:rsidRDefault="002C1E51" w:rsidP="00D056DA">
            <w:pPr>
              <w:jc w:val="center"/>
              <w:rPr>
                <w:sz w:val="22"/>
                <w:szCs w:val="22"/>
              </w:rPr>
            </w:pPr>
          </w:p>
        </w:tc>
        <w:tc>
          <w:tcPr>
            <w:tcW w:w="763" w:type="pct"/>
          </w:tcPr>
          <w:p w14:paraId="11048196" w14:textId="77777777" w:rsidR="002C1E51" w:rsidRPr="001E739D" w:rsidRDefault="002C1E51" w:rsidP="00D056DA">
            <w:pPr>
              <w:jc w:val="center"/>
              <w:rPr>
                <w:sz w:val="22"/>
                <w:szCs w:val="22"/>
              </w:rPr>
            </w:pPr>
            <w:r w:rsidRPr="001E739D">
              <w:rPr>
                <w:sz w:val="22"/>
                <w:szCs w:val="22"/>
              </w:rPr>
              <w:t>-.0007#</w:t>
            </w:r>
          </w:p>
          <w:p w14:paraId="74EC03B2" w14:textId="77777777" w:rsidR="002C1E51" w:rsidRPr="001E739D" w:rsidRDefault="002C1E51" w:rsidP="00D056DA">
            <w:pPr>
              <w:jc w:val="center"/>
              <w:rPr>
                <w:sz w:val="22"/>
                <w:szCs w:val="22"/>
              </w:rPr>
            </w:pPr>
            <w:r w:rsidRPr="001E739D">
              <w:rPr>
                <w:sz w:val="22"/>
                <w:szCs w:val="22"/>
              </w:rPr>
              <w:t>(.0004)</w:t>
            </w:r>
          </w:p>
        </w:tc>
        <w:tc>
          <w:tcPr>
            <w:tcW w:w="765" w:type="pct"/>
          </w:tcPr>
          <w:p w14:paraId="1D56CA50" w14:textId="77777777" w:rsidR="002C1E51" w:rsidRPr="001E739D" w:rsidRDefault="002C1E51" w:rsidP="00D056DA">
            <w:pPr>
              <w:jc w:val="center"/>
              <w:rPr>
                <w:sz w:val="22"/>
                <w:szCs w:val="22"/>
              </w:rPr>
            </w:pPr>
          </w:p>
        </w:tc>
      </w:tr>
      <w:tr w:rsidR="002C1E51" w:rsidRPr="001E739D" w14:paraId="6E7FCDBA" w14:textId="77777777" w:rsidTr="00D056DA">
        <w:tc>
          <w:tcPr>
            <w:tcW w:w="1888" w:type="pct"/>
          </w:tcPr>
          <w:p w14:paraId="71DBAEA5" w14:textId="77777777" w:rsidR="002C1E51" w:rsidRPr="001E739D" w:rsidRDefault="002C1E51" w:rsidP="00D056DA">
            <w:pPr>
              <w:rPr>
                <w:sz w:val="22"/>
                <w:szCs w:val="22"/>
              </w:rPr>
            </w:pPr>
            <w:r w:rsidRPr="001E739D">
              <w:rPr>
                <w:sz w:val="22"/>
                <w:szCs w:val="22"/>
              </w:rPr>
              <w:t>WB IBRD (t-5)</w:t>
            </w:r>
          </w:p>
        </w:tc>
        <w:tc>
          <w:tcPr>
            <w:tcW w:w="874" w:type="pct"/>
          </w:tcPr>
          <w:p w14:paraId="13C7DA45" w14:textId="77777777" w:rsidR="002C1E51" w:rsidRPr="001E739D" w:rsidRDefault="002C1E51" w:rsidP="00D056DA">
            <w:pPr>
              <w:jc w:val="center"/>
              <w:rPr>
                <w:sz w:val="22"/>
                <w:szCs w:val="22"/>
              </w:rPr>
            </w:pPr>
          </w:p>
        </w:tc>
        <w:tc>
          <w:tcPr>
            <w:tcW w:w="710" w:type="pct"/>
          </w:tcPr>
          <w:p w14:paraId="750D32F3" w14:textId="77777777" w:rsidR="002C1E51" w:rsidRPr="001E739D" w:rsidRDefault="002C1E51" w:rsidP="00D056DA">
            <w:pPr>
              <w:jc w:val="center"/>
              <w:rPr>
                <w:sz w:val="22"/>
                <w:szCs w:val="22"/>
              </w:rPr>
            </w:pPr>
          </w:p>
        </w:tc>
        <w:tc>
          <w:tcPr>
            <w:tcW w:w="763" w:type="pct"/>
          </w:tcPr>
          <w:p w14:paraId="166882B9" w14:textId="77777777" w:rsidR="002C1E51" w:rsidRPr="001E739D" w:rsidRDefault="002C1E51" w:rsidP="00D056DA">
            <w:pPr>
              <w:jc w:val="center"/>
              <w:rPr>
                <w:sz w:val="22"/>
                <w:szCs w:val="22"/>
              </w:rPr>
            </w:pPr>
          </w:p>
        </w:tc>
        <w:tc>
          <w:tcPr>
            <w:tcW w:w="765" w:type="pct"/>
          </w:tcPr>
          <w:p w14:paraId="426BC328" w14:textId="77777777" w:rsidR="002C1E51" w:rsidRPr="001E739D" w:rsidRDefault="002C1E51" w:rsidP="00D056DA">
            <w:pPr>
              <w:jc w:val="center"/>
              <w:rPr>
                <w:sz w:val="22"/>
                <w:szCs w:val="22"/>
              </w:rPr>
            </w:pPr>
            <w:r w:rsidRPr="001E739D">
              <w:rPr>
                <w:sz w:val="22"/>
                <w:szCs w:val="22"/>
              </w:rPr>
              <w:t>.002</w:t>
            </w:r>
          </w:p>
          <w:p w14:paraId="3B2AA81A" w14:textId="77777777" w:rsidR="002C1E51" w:rsidRPr="001E739D" w:rsidRDefault="002C1E51" w:rsidP="00D056DA">
            <w:pPr>
              <w:jc w:val="center"/>
              <w:rPr>
                <w:sz w:val="22"/>
                <w:szCs w:val="22"/>
              </w:rPr>
            </w:pPr>
            <w:r w:rsidRPr="001E739D">
              <w:rPr>
                <w:sz w:val="22"/>
                <w:szCs w:val="22"/>
              </w:rPr>
              <w:t>(.002)</w:t>
            </w:r>
          </w:p>
        </w:tc>
      </w:tr>
      <w:tr w:rsidR="002C1E51" w:rsidRPr="001E739D" w14:paraId="65AF24C7" w14:textId="77777777" w:rsidTr="00D056DA">
        <w:tc>
          <w:tcPr>
            <w:tcW w:w="1888" w:type="pct"/>
          </w:tcPr>
          <w:p w14:paraId="38044212" w14:textId="77777777" w:rsidR="002C1E51" w:rsidRPr="001E739D" w:rsidRDefault="002C1E51" w:rsidP="00D056DA">
            <w:pPr>
              <w:rPr>
                <w:sz w:val="22"/>
                <w:szCs w:val="22"/>
              </w:rPr>
            </w:pPr>
            <w:r w:rsidRPr="001E739D">
              <w:rPr>
                <w:sz w:val="22"/>
                <w:szCs w:val="22"/>
              </w:rPr>
              <w:t>WB IDA (t-5)</w:t>
            </w:r>
          </w:p>
        </w:tc>
        <w:tc>
          <w:tcPr>
            <w:tcW w:w="874" w:type="pct"/>
          </w:tcPr>
          <w:p w14:paraId="16677CCA" w14:textId="77777777" w:rsidR="002C1E51" w:rsidRPr="001E739D" w:rsidRDefault="002C1E51" w:rsidP="00D056DA">
            <w:pPr>
              <w:jc w:val="center"/>
              <w:rPr>
                <w:sz w:val="22"/>
                <w:szCs w:val="22"/>
              </w:rPr>
            </w:pPr>
          </w:p>
        </w:tc>
        <w:tc>
          <w:tcPr>
            <w:tcW w:w="710" w:type="pct"/>
          </w:tcPr>
          <w:p w14:paraId="1B2B1977" w14:textId="77777777" w:rsidR="002C1E51" w:rsidRPr="001E739D" w:rsidRDefault="002C1E51" w:rsidP="00D056DA">
            <w:pPr>
              <w:jc w:val="center"/>
              <w:rPr>
                <w:sz w:val="22"/>
                <w:szCs w:val="22"/>
              </w:rPr>
            </w:pPr>
          </w:p>
        </w:tc>
        <w:tc>
          <w:tcPr>
            <w:tcW w:w="763" w:type="pct"/>
          </w:tcPr>
          <w:p w14:paraId="5F7CBA07" w14:textId="77777777" w:rsidR="002C1E51" w:rsidRPr="001E739D" w:rsidRDefault="002C1E51" w:rsidP="00D056DA">
            <w:pPr>
              <w:jc w:val="center"/>
              <w:rPr>
                <w:sz w:val="22"/>
                <w:szCs w:val="22"/>
              </w:rPr>
            </w:pPr>
          </w:p>
        </w:tc>
        <w:tc>
          <w:tcPr>
            <w:tcW w:w="765" w:type="pct"/>
          </w:tcPr>
          <w:p w14:paraId="4EF9898A" w14:textId="77777777" w:rsidR="002C1E51" w:rsidRPr="001E739D" w:rsidRDefault="002C1E51" w:rsidP="00D056DA">
            <w:pPr>
              <w:jc w:val="center"/>
              <w:rPr>
                <w:sz w:val="22"/>
                <w:szCs w:val="22"/>
              </w:rPr>
            </w:pPr>
            <w:r w:rsidRPr="001E739D">
              <w:rPr>
                <w:sz w:val="22"/>
                <w:szCs w:val="22"/>
              </w:rPr>
              <w:t>-.008**</w:t>
            </w:r>
          </w:p>
          <w:p w14:paraId="561E5BA8" w14:textId="77777777" w:rsidR="002C1E51" w:rsidRPr="001E739D" w:rsidRDefault="002C1E51" w:rsidP="00D056DA">
            <w:pPr>
              <w:jc w:val="center"/>
              <w:rPr>
                <w:sz w:val="22"/>
                <w:szCs w:val="22"/>
              </w:rPr>
            </w:pPr>
            <w:r w:rsidRPr="001E739D">
              <w:rPr>
                <w:sz w:val="22"/>
                <w:szCs w:val="22"/>
              </w:rPr>
              <w:t>(.003)</w:t>
            </w:r>
          </w:p>
        </w:tc>
      </w:tr>
      <w:tr w:rsidR="002C1E51" w:rsidRPr="001E739D" w14:paraId="38BC3566" w14:textId="77777777" w:rsidTr="00D056DA">
        <w:tc>
          <w:tcPr>
            <w:tcW w:w="1888" w:type="pct"/>
          </w:tcPr>
          <w:p w14:paraId="0B22E3F4" w14:textId="77777777" w:rsidR="002C1E51" w:rsidRPr="001E739D" w:rsidRDefault="002C1E51" w:rsidP="00D056DA">
            <w:pPr>
              <w:rPr>
                <w:sz w:val="22"/>
                <w:szCs w:val="22"/>
              </w:rPr>
            </w:pPr>
            <w:r w:rsidRPr="001E739D">
              <w:rPr>
                <w:sz w:val="22"/>
                <w:szCs w:val="22"/>
              </w:rPr>
              <w:t>IMF Concessional (t-5)</w:t>
            </w:r>
          </w:p>
        </w:tc>
        <w:tc>
          <w:tcPr>
            <w:tcW w:w="874" w:type="pct"/>
          </w:tcPr>
          <w:p w14:paraId="548FAC34" w14:textId="77777777" w:rsidR="002C1E51" w:rsidRPr="001E739D" w:rsidRDefault="002C1E51" w:rsidP="00D056DA">
            <w:pPr>
              <w:jc w:val="center"/>
              <w:rPr>
                <w:sz w:val="22"/>
                <w:szCs w:val="22"/>
              </w:rPr>
            </w:pPr>
          </w:p>
        </w:tc>
        <w:tc>
          <w:tcPr>
            <w:tcW w:w="710" w:type="pct"/>
          </w:tcPr>
          <w:p w14:paraId="26CE394F" w14:textId="77777777" w:rsidR="002C1E51" w:rsidRPr="001E739D" w:rsidRDefault="002C1E51" w:rsidP="00D056DA">
            <w:pPr>
              <w:jc w:val="center"/>
              <w:rPr>
                <w:sz w:val="22"/>
                <w:szCs w:val="22"/>
              </w:rPr>
            </w:pPr>
          </w:p>
        </w:tc>
        <w:tc>
          <w:tcPr>
            <w:tcW w:w="763" w:type="pct"/>
          </w:tcPr>
          <w:p w14:paraId="50794D30" w14:textId="77777777" w:rsidR="002C1E51" w:rsidRPr="001E739D" w:rsidRDefault="002C1E51" w:rsidP="00D056DA">
            <w:pPr>
              <w:jc w:val="center"/>
              <w:rPr>
                <w:sz w:val="22"/>
                <w:szCs w:val="22"/>
              </w:rPr>
            </w:pPr>
          </w:p>
        </w:tc>
        <w:tc>
          <w:tcPr>
            <w:tcW w:w="765" w:type="pct"/>
          </w:tcPr>
          <w:p w14:paraId="5892FAD6" w14:textId="77777777" w:rsidR="002C1E51" w:rsidRPr="001E739D" w:rsidRDefault="002C1E51" w:rsidP="00D056DA">
            <w:pPr>
              <w:jc w:val="center"/>
              <w:rPr>
                <w:sz w:val="22"/>
                <w:szCs w:val="22"/>
              </w:rPr>
            </w:pPr>
            <w:r w:rsidRPr="001E739D">
              <w:rPr>
                <w:sz w:val="22"/>
                <w:szCs w:val="22"/>
              </w:rPr>
              <w:t>.00009</w:t>
            </w:r>
          </w:p>
          <w:p w14:paraId="19ADB9C3" w14:textId="77777777" w:rsidR="002C1E51" w:rsidRPr="001E739D" w:rsidRDefault="002C1E51" w:rsidP="00D056DA">
            <w:pPr>
              <w:jc w:val="center"/>
              <w:rPr>
                <w:sz w:val="22"/>
                <w:szCs w:val="22"/>
              </w:rPr>
            </w:pPr>
            <w:r w:rsidRPr="001E739D">
              <w:rPr>
                <w:sz w:val="22"/>
                <w:szCs w:val="22"/>
              </w:rPr>
              <w:t>(.0005)</w:t>
            </w:r>
          </w:p>
        </w:tc>
      </w:tr>
      <w:tr w:rsidR="002C1E51" w:rsidRPr="001E739D" w14:paraId="4595AF2F" w14:textId="77777777" w:rsidTr="00D056DA">
        <w:tc>
          <w:tcPr>
            <w:tcW w:w="1888" w:type="pct"/>
          </w:tcPr>
          <w:p w14:paraId="27594F71" w14:textId="77777777" w:rsidR="002C1E51" w:rsidRPr="001E739D" w:rsidRDefault="002C1E51" w:rsidP="00D056DA">
            <w:pPr>
              <w:rPr>
                <w:sz w:val="22"/>
                <w:szCs w:val="22"/>
              </w:rPr>
            </w:pPr>
            <w:r w:rsidRPr="001E739D">
              <w:rPr>
                <w:sz w:val="22"/>
                <w:szCs w:val="22"/>
              </w:rPr>
              <w:t>IMF Non-Concessional (t-5)</w:t>
            </w:r>
          </w:p>
        </w:tc>
        <w:tc>
          <w:tcPr>
            <w:tcW w:w="874" w:type="pct"/>
          </w:tcPr>
          <w:p w14:paraId="28495D2C" w14:textId="77777777" w:rsidR="002C1E51" w:rsidRPr="001E739D" w:rsidRDefault="002C1E51" w:rsidP="00D056DA">
            <w:pPr>
              <w:jc w:val="center"/>
              <w:rPr>
                <w:sz w:val="22"/>
                <w:szCs w:val="22"/>
              </w:rPr>
            </w:pPr>
          </w:p>
        </w:tc>
        <w:tc>
          <w:tcPr>
            <w:tcW w:w="710" w:type="pct"/>
          </w:tcPr>
          <w:p w14:paraId="21882087" w14:textId="77777777" w:rsidR="002C1E51" w:rsidRPr="001E739D" w:rsidRDefault="002C1E51" w:rsidP="00D056DA">
            <w:pPr>
              <w:jc w:val="center"/>
              <w:rPr>
                <w:sz w:val="22"/>
                <w:szCs w:val="22"/>
              </w:rPr>
            </w:pPr>
          </w:p>
        </w:tc>
        <w:tc>
          <w:tcPr>
            <w:tcW w:w="763" w:type="pct"/>
          </w:tcPr>
          <w:p w14:paraId="7E548FB7" w14:textId="77777777" w:rsidR="002C1E51" w:rsidRPr="001E739D" w:rsidRDefault="002C1E51" w:rsidP="00D056DA">
            <w:pPr>
              <w:jc w:val="center"/>
              <w:rPr>
                <w:sz w:val="22"/>
                <w:szCs w:val="22"/>
              </w:rPr>
            </w:pPr>
          </w:p>
        </w:tc>
        <w:tc>
          <w:tcPr>
            <w:tcW w:w="765" w:type="pct"/>
          </w:tcPr>
          <w:p w14:paraId="0D1A53EC" w14:textId="77777777" w:rsidR="002C1E51" w:rsidRPr="001E739D" w:rsidRDefault="002C1E51" w:rsidP="00D056DA">
            <w:pPr>
              <w:jc w:val="center"/>
              <w:rPr>
                <w:sz w:val="22"/>
                <w:szCs w:val="22"/>
              </w:rPr>
            </w:pPr>
            <w:r w:rsidRPr="001E739D">
              <w:rPr>
                <w:sz w:val="22"/>
                <w:szCs w:val="22"/>
              </w:rPr>
              <w:t>-.001*</w:t>
            </w:r>
          </w:p>
          <w:p w14:paraId="461242B3" w14:textId="77777777" w:rsidR="002C1E51" w:rsidRPr="001E739D" w:rsidRDefault="002C1E51" w:rsidP="00D056DA">
            <w:pPr>
              <w:jc w:val="center"/>
              <w:rPr>
                <w:sz w:val="22"/>
                <w:szCs w:val="22"/>
              </w:rPr>
            </w:pPr>
            <w:r w:rsidRPr="001E739D">
              <w:rPr>
                <w:sz w:val="22"/>
                <w:szCs w:val="22"/>
              </w:rPr>
              <w:t>(.0004)</w:t>
            </w:r>
          </w:p>
        </w:tc>
      </w:tr>
      <w:tr w:rsidR="002C1E51" w:rsidRPr="001E739D" w14:paraId="72024A01" w14:textId="77777777" w:rsidTr="00D056DA">
        <w:tc>
          <w:tcPr>
            <w:tcW w:w="1888" w:type="pct"/>
          </w:tcPr>
          <w:p w14:paraId="1A6E75F8" w14:textId="77777777" w:rsidR="002C1E51" w:rsidRPr="001E739D" w:rsidRDefault="002C1E51" w:rsidP="00D056DA">
            <w:pPr>
              <w:rPr>
                <w:sz w:val="22"/>
                <w:szCs w:val="22"/>
              </w:rPr>
            </w:pPr>
            <w:r w:rsidRPr="001E739D">
              <w:rPr>
                <w:sz w:val="22"/>
                <w:szCs w:val="22"/>
              </w:rPr>
              <w:t>Debt Forgiveness (t-3)</w:t>
            </w:r>
          </w:p>
        </w:tc>
        <w:tc>
          <w:tcPr>
            <w:tcW w:w="874" w:type="pct"/>
          </w:tcPr>
          <w:p w14:paraId="1AB0610B" w14:textId="77777777" w:rsidR="002C1E51" w:rsidRPr="001E739D" w:rsidRDefault="002C1E51" w:rsidP="00D056DA">
            <w:pPr>
              <w:jc w:val="center"/>
              <w:rPr>
                <w:sz w:val="22"/>
                <w:szCs w:val="22"/>
              </w:rPr>
            </w:pPr>
            <w:r w:rsidRPr="001E739D">
              <w:rPr>
                <w:sz w:val="22"/>
                <w:szCs w:val="22"/>
              </w:rPr>
              <w:t>.0003</w:t>
            </w:r>
          </w:p>
          <w:p w14:paraId="7B87B471" w14:textId="77777777" w:rsidR="002C1E51" w:rsidRPr="001E739D" w:rsidRDefault="002C1E51" w:rsidP="00D056DA">
            <w:pPr>
              <w:jc w:val="center"/>
              <w:rPr>
                <w:sz w:val="22"/>
                <w:szCs w:val="22"/>
              </w:rPr>
            </w:pPr>
            <w:r w:rsidRPr="001E739D">
              <w:rPr>
                <w:sz w:val="22"/>
                <w:szCs w:val="22"/>
              </w:rPr>
              <w:t>(.001)</w:t>
            </w:r>
          </w:p>
        </w:tc>
        <w:tc>
          <w:tcPr>
            <w:tcW w:w="710" w:type="pct"/>
          </w:tcPr>
          <w:p w14:paraId="20223DE7" w14:textId="77777777" w:rsidR="002C1E51" w:rsidRPr="001E739D" w:rsidRDefault="002C1E51" w:rsidP="00D056DA">
            <w:pPr>
              <w:jc w:val="center"/>
              <w:rPr>
                <w:sz w:val="22"/>
                <w:szCs w:val="22"/>
              </w:rPr>
            </w:pPr>
            <w:r w:rsidRPr="001E739D">
              <w:rPr>
                <w:sz w:val="22"/>
                <w:szCs w:val="22"/>
              </w:rPr>
              <w:t>-.0001</w:t>
            </w:r>
          </w:p>
          <w:p w14:paraId="5CAD7B4B" w14:textId="77777777" w:rsidR="002C1E51" w:rsidRPr="001E739D" w:rsidRDefault="002C1E51" w:rsidP="00D056DA">
            <w:pPr>
              <w:jc w:val="center"/>
              <w:rPr>
                <w:sz w:val="22"/>
                <w:szCs w:val="22"/>
              </w:rPr>
            </w:pPr>
            <w:r w:rsidRPr="001E739D">
              <w:rPr>
                <w:sz w:val="22"/>
                <w:szCs w:val="22"/>
              </w:rPr>
              <w:t>(.001)</w:t>
            </w:r>
          </w:p>
        </w:tc>
        <w:tc>
          <w:tcPr>
            <w:tcW w:w="763" w:type="pct"/>
          </w:tcPr>
          <w:p w14:paraId="065FC4D1" w14:textId="77777777" w:rsidR="002C1E51" w:rsidRPr="001E739D" w:rsidRDefault="002C1E51" w:rsidP="00D056DA">
            <w:pPr>
              <w:jc w:val="center"/>
              <w:rPr>
                <w:sz w:val="22"/>
                <w:szCs w:val="22"/>
              </w:rPr>
            </w:pPr>
          </w:p>
        </w:tc>
        <w:tc>
          <w:tcPr>
            <w:tcW w:w="765" w:type="pct"/>
          </w:tcPr>
          <w:p w14:paraId="230E2DDD" w14:textId="77777777" w:rsidR="002C1E51" w:rsidRPr="001E739D" w:rsidRDefault="002C1E51" w:rsidP="00D056DA">
            <w:pPr>
              <w:jc w:val="center"/>
              <w:rPr>
                <w:sz w:val="22"/>
                <w:szCs w:val="22"/>
              </w:rPr>
            </w:pPr>
          </w:p>
        </w:tc>
      </w:tr>
      <w:tr w:rsidR="002C1E51" w:rsidRPr="001E739D" w14:paraId="1AAE42EA" w14:textId="77777777" w:rsidTr="00D056DA">
        <w:tc>
          <w:tcPr>
            <w:tcW w:w="1888" w:type="pct"/>
          </w:tcPr>
          <w:p w14:paraId="5CDDF695" w14:textId="77777777" w:rsidR="002C1E51" w:rsidRPr="001E739D" w:rsidRDefault="002C1E51" w:rsidP="00D056DA">
            <w:pPr>
              <w:rPr>
                <w:sz w:val="22"/>
                <w:szCs w:val="22"/>
              </w:rPr>
            </w:pPr>
            <w:r w:rsidRPr="001E739D">
              <w:rPr>
                <w:sz w:val="22"/>
                <w:szCs w:val="22"/>
              </w:rPr>
              <w:t>Debt Forgiveness (t-5)</w:t>
            </w:r>
          </w:p>
        </w:tc>
        <w:tc>
          <w:tcPr>
            <w:tcW w:w="874" w:type="pct"/>
          </w:tcPr>
          <w:p w14:paraId="4A499376" w14:textId="77777777" w:rsidR="002C1E51" w:rsidRPr="001E739D" w:rsidRDefault="002C1E51" w:rsidP="00D056DA">
            <w:pPr>
              <w:jc w:val="center"/>
              <w:rPr>
                <w:sz w:val="22"/>
                <w:szCs w:val="22"/>
              </w:rPr>
            </w:pPr>
          </w:p>
        </w:tc>
        <w:tc>
          <w:tcPr>
            <w:tcW w:w="710" w:type="pct"/>
          </w:tcPr>
          <w:p w14:paraId="03AAEDD6" w14:textId="77777777" w:rsidR="002C1E51" w:rsidRPr="001E739D" w:rsidRDefault="002C1E51" w:rsidP="00D056DA">
            <w:pPr>
              <w:jc w:val="center"/>
              <w:rPr>
                <w:sz w:val="22"/>
                <w:szCs w:val="22"/>
              </w:rPr>
            </w:pPr>
          </w:p>
        </w:tc>
        <w:tc>
          <w:tcPr>
            <w:tcW w:w="763" w:type="pct"/>
          </w:tcPr>
          <w:p w14:paraId="4F72E7A9" w14:textId="77777777" w:rsidR="002C1E51" w:rsidRPr="001E739D" w:rsidRDefault="002C1E51" w:rsidP="00D056DA">
            <w:pPr>
              <w:jc w:val="center"/>
              <w:rPr>
                <w:sz w:val="22"/>
                <w:szCs w:val="22"/>
              </w:rPr>
            </w:pPr>
            <w:r w:rsidRPr="001E739D">
              <w:rPr>
                <w:sz w:val="22"/>
                <w:szCs w:val="22"/>
              </w:rPr>
              <w:t>-.0003</w:t>
            </w:r>
          </w:p>
          <w:p w14:paraId="062E0BB9" w14:textId="77777777" w:rsidR="002C1E51" w:rsidRPr="001E739D" w:rsidRDefault="002C1E51" w:rsidP="00D056DA">
            <w:pPr>
              <w:jc w:val="center"/>
              <w:rPr>
                <w:sz w:val="22"/>
                <w:szCs w:val="22"/>
              </w:rPr>
            </w:pPr>
            <w:r w:rsidRPr="001E739D">
              <w:rPr>
                <w:sz w:val="22"/>
                <w:szCs w:val="22"/>
              </w:rPr>
              <w:t>(.001)</w:t>
            </w:r>
          </w:p>
        </w:tc>
        <w:tc>
          <w:tcPr>
            <w:tcW w:w="765" w:type="pct"/>
          </w:tcPr>
          <w:p w14:paraId="2F847D11" w14:textId="77777777" w:rsidR="002C1E51" w:rsidRPr="001E739D" w:rsidRDefault="002C1E51" w:rsidP="00D056DA">
            <w:pPr>
              <w:jc w:val="center"/>
              <w:rPr>
                <w:sz w:val="22"/>
                <w:szCs w:val="22"/>
              </w:rPr>
            </w:pPr>
            <w:r w:rsidRPr="001E739D">
              <w:rPr>
                <w:sz w:val="22"/>
                <w:szCs w:val="22"/>
              </w:rPr>
              <w:t>-.0004</w:t>
            </w:r>
          </w:p>
          <w:p w14:paraId="08BECC3F" w14:textId="77777777" w:rsidR="002C1E51" w:rsidRPr="001E739D" w:rsidRDefault="002C1E51" w:rsidP="00D056DA">
            <w:pPr>
              <w:jc w:val="center"/>
              <w:rPr>
                <w:sz w:val="22"/>
                <w:szCs w:val="22"/>
              </w:rPr>
            </w:pPr>
            <w:r w:rsidRPr="001E739D">
              <w:rPr>
                <w:sz w:val="22"/>
                <w:szCs w:val="22"/>
              </w:rPr>
              <w:t>(.001)</w:t>
            </w:r>
          </w:p>
        </w:tc>
      </w:tr>
      <w:tr w:rsidR="002C1E51" w:rsidRPr="001E739D" w14:paraId="5AAEC69F" w14:textId="77777777" w:rsidTr="00D056DA">
        <w:tc>
          <w:tcPr>
            <w:tcW w:w="1888" w:type="pct"/>
          </w:tcPr>
          <w:p w14:paraId="2A49BD10" w14:textId="77777777" w:rsidR="002C1E51" w:rsidRPr="001E739D" w:rsidRDefault="002C1E51" w:rsidP="00D056DA">
            <w:pPr>
              <w:rPr>
                <w:sz w:val="22"/>
                <w:szCs w:val="22"/>
              </w:rPr>
            </w:pPr>
            <w:r w:rsidRPr="001E739D">
              <w:rPr>
                <w:sz w:val="22"/>
                <w:szCs w:val="22"/>
              </w:rPr>
              <w:t>GDPpc (log)</w:t>
            </w:r>
          </w:p>
        </w:tc>
        <w:tc>
          <w:tcPr>
            <w:tcW w:w="874" w:type="pct"/>
          </w:tcPr>
          <w:p w14:paraId="69E6CF2C" w14:textId="77777777" w:rsidR="002C1E51" w:rsidRPr="001E739D" w:rsidRDefault="002C1E51" w:rsidP="00D056DA">
            <w:pPr>
              <w:jc w:val="center"/>
              <w:rPr>
                <w:sz w:val="22"/>
                <w:szCs w:val="22"/>
              </w:rPr>
            </w:pPr>
            <w:r w:rsidRPr="001E739D">
              <w:rPr>
                <w:sz w:val="22"/>
                <w:szCs w:val="22"/>
              </w:rPr>
              <w:t>-.387***</w:t>
            </w:r>
          </w:p>
          <w:p w14:paraId="56A6CC4F" w14:textId="77777777" w:rsidR="002C1E51" w:rsidRPr="001E739D" w:rsidRDefault="002C1E51" w:rsidP="00D056DA">
            <w:pPr>
              <w:jc w:val="center"/>
              <w:rPr>
                <w:sz w:val="22"/>
                <w:szCs w:val="22"/>
              </w:rPr>
            </w:pPr>
            <w:r w:rsidRPr="001E739D">
              <w:rPr>
                <w:sz w:val="22"/>
                <w:szCs w:val="22"/>
              </w:rPr>
              <w:t>(.021)</w:t>
            </w:r>
          </w:p>
        </w:tc>
        <w:tc>
          <w:tcPr>
            <w:tcW w:w="710" w:type="pct"/>
          </w:tcPr>
          <w:p w14:paraId="57F8E02B" w14:textId="77777777" w:rsidR="002C1E51" w:rsidRPr="001E739D" w:rsidRDefault="002C1E51" w:rsidP="00D056DA">
            <w:pPr>
              <w:jc w:val="center"/>
              <w:rPr>
                <w:sz w:val="22"/>
                <w:szCs w:val="22"/>
              </w:rPr>
            </w:pPr>
            <w:r w:rsidRPr="001E739D">
              <w:rPr>
                <w:sz w:val="22"/>
                <w:szCs w:val="22"/>
              </w:rPr>
              <w:t>-.382***</w:t>
            </w:r>
          </w:p>
          <w:p w14:paraId="01BCB9ED" w14:textId="77777777" w:rsidR="002C1E51" w:rsidRPr="001E739D" w:rsidRDefault="002C1E51" w:rsidP="00D056DA">
            <w:pPr>
              <w:jc w:val="center"/>
              <w:rPr>
                <w:sz w:val="22"/>
                <w:szCs w:val="22"/>
              </w:rPr>
            </w:pPr>
            <w:r w:rsidRPr="001E739D">
              <w:rPr>
                <w:sz w:val="22"/>
                <w:szCs w:val="22"/>
              </w:rPr>
              <w:t>(.021)</w:t>
            </w:r>
          </w:p>
        </w:tc>
        <w:tc>
          <w:tcPr>
            <w:tcW w:w="763" w:type="pct"/>
          </w:tcPr>
          <w:p w14:paraId="40356694" w14:textId="77777777" w:rsidR="002C1E51" w:rsidRPr="001E739D" w:rsidRDefault="002C1E51" w:rsidP="00D056DA">
            <w:pPr>
              <w:jc w:val="center"/>
              <w:rPr>
                <w:sz w:val="22"/>
                <w:szCs w:val="22"/>
              </w:rPr>
            </w:pPr>
            <w:r w:rsidRPr="001E739D">
              <w:rPr>
                <w:sz w:val="22"/>
                <w:szCs w:val="22"/>
              </w:rPr>
              <w:t>-.378***</w:t>
            </w:r>
          </w:p>
          <w:p w14:paraId="5BAD1F6C" w14:textId="77777777" w:rsidR="002C1E51" w:rsidRPr="001E739D" w:rsidRDefault="002C1E51" w:rsidP="00D056DA">
            <w:pPr>
              <w:jc w:val="center"/>
              <w:rPr>
                <w:sz w:val="22"/>
                <w:szCs w:val="22"/>
              </w:rPr>
            </w:pPr>
            <w:r w:rsidRPr="001E739D">
              <w:rPr>
                <w:sz w:val="22"/>
                <w:szCs w:val="22"/>
              </w:rPr>
              <w:t>(.021)</w:t>
            </w:r>
          </w:p>
        </w:tc>
        <w:tc>
          <w:tcPr>
            <w:tcW w:w="765" w:type="pct"/>
          </w:tcPr>
          <w:p w14:paraId="1B9B530B" w14:textId="77777777" w:rsidR="002C1E51" w:rsidRPr="001E739D" w:rsidRDefault="002C1E51" w:rsidP="00D056DA">
            <w:pPr>
              <w:jc w:val="center"/>
              <w:rPr>
                <w:sz w:val="22"/>
                <w:szCs w:val="22"/>
              </w:rPr>
            </w:pPr>
            <w:r w:rsidRPr="001E739D">
              <w:rPr>
                <w:sz w:val="22"/>
                <w:szCs w:val="22"/>
              </w:rPr>
              <w:t>-.381***</w:t>
            </w:r>
          </w:p>
          <w:p w14:paraId="30CD9A8C" w14:textId="77777777" w:rsidR="002C1E51" w:rsidRPr="001E739D" w:rsidRDefault="002C1E51" w:rsidP="00D056DA">
            <w:pPr>
              <w:jc w:val="center"/>
              <w:rPr>
                <w:sz w:val="22"/>
                <w:szCs w:val="22"/>
              </w:rPr>
            </w:pPr>
            <w:r w:rsidRPr="001E739D">
              <w:rPr>
                <w:sz w:val="22"/>
                <w:szCs w:val="22"/>
              </w:rPr>
              <w:t>(.021)</w:t>
            </w:r>
          </w:p>
        </w:tc>
      </w:tr>
      <w:tr w:rsidR="002C1E51" w:rsidRPr="001E739D" w14:paraId="43A7117D" w14:textId="77777777" w:rsidTr="00D056DA">
        <w:tc>
          <w:tcPr>
            <w:tcW w:w="1888" w:type="pct"/>
          </w:tcPr>
          <w:p w14:paraId="7E06B2D3" w14:textId="77777777" w:rsidR="002C1E51" w:rsidRPr="001E739D" w:rsidRDefault="002C1E51" w:rsidP="00D056DA">
            <w:pPr>
              <w:rPr>
                <w:sz w:val="22"/>
                <w:szCs w:val="22"/>
              </w:rPr>
            </w:pPr>
            <w:r w:rsidRPr="001E739D">
              <w:rPr>
                <w:sz w:val="22"/>
                <w:szCs w:val="22"/>
              </w:rPr>
              <w:t>Health Expenditures</w:t>
            </w:r>
          </w:p>
        </w:tc>
        <w:tc>
          <w:tcPr>
            <w:tcW w:w="874" w:type="pct"/>
          </w:tcPr>
          <w:p w14:paraId="62074C86" w14:textId="77777777" w:rsidR="002C1E51" w:rsidRPr="001E739D" w:rsidRDefault="002C1E51" w:rsidP="00D056DA">
            <w:pPr>
              <w:jc w:val="center"/>
              <w:rPr>
                <w:sz w:val="22"/>
                <w:szCs w:val="22"/>
              </w:rPr>
            </w:pPr>
            <w:r w:rsidRPr="001E739D">
              <w:rPr>
                <w:sz w:val="22"/>
                <w:szCs w:val="22"/>
              </w:rPr>
              <w:t>-.152***</w:t>
            </w:r>
          </w:p>
          <w:p w14:paraId="4D0FA4E5" w14:textId="77777777" w:rsidR="002C1E51" w:rsidRPr="001E739D" w:rsidRDefault="002C1E51" w:rsidP="00D056DA">
            <w:pPr>
              <w:jc w:val="center"/>
              <w:rPr>
                <w:sz w:val="22"/>
                <w:szCs w:val="22"/>
              </w:rPr>
            </w:pPr>
            <w:r w:rsidRPr="001E739D">
              <w:rPr>
                <w:sz w:val="22"/>
                <w:szCs w:val="22"/>
              </w:rPr>
              <w:t>(.041)</w:t>
            </w:r>
          </w:p>
        </w:tc>
        <w:tc>
          <w:tcPr>
            <w:tcW w:w="710" w:type="pct"/>
          </w:tcPr>
          <w:p w14:paraId="6C35B477" w14:textId="77777777" w:rsidR="002C1E51" w:rsidRPr="001E739D" w:rsidRDefault="002C1E51" w:rsidP="00D056DA">
            <w:pPr>
              <w:jc w:val="center"/>
              <w:rPr>
                <w:sz w:val="22"/>
                <w:szCs w:val="22"/>
              </w:rPr>
            </w:pPr>
            <w:r w:rsidRPr="001E739D">
              <w:rPr>
                <w:sz w:val="22"/>
                <w:szCs w:val="22"/>
              </w:rPr>
              <w:t>-.147**</w:t>
            </w:r>
          </w:p>
          <w:p w14:paraId="635919D0" w14:textId="77777777" w:rsidR="002C1E51" w:rsidRPr="001E739D" w:rsidRDefault="002C1E51" w:rsidP="00D056DA">
            <w:pPr>
              <w:jc w:val="center"/>
              <w:rPr>
                <w:sz w:val="22"/>
                <w:szCs w:val="22"/>
              </w:rPr>
            </w:pPr>
            <w:r w:rsidRPr="001E739D">
              <w:rPr>
                <w:sz w:val="22"/>
                <w:szCs w:val="22"/>
              </w:rPr>
              <w:t>(.041)</w:t>
            </w:r>
          </w:p>
        </w:tc>
        <w:tc>
          <w:tcPr>
            <w:tcW w:w="763" w:type="pct"/>
          </w:tcPr>
          <w:p w14:paraId="6C401FA5" w14:textId="77777777" w:rsidR="002C1E51" w:rsidRPr="001E739D" w:rsidRDefault="002C1E51" w:rsidP="00D056DA">
            <w:pPr>
              <w:jc w:val="center"/>
              <w:rPr>
                <w:sz w:val="22"/>
                <w:szCs w:val="22"/>
              </w:rPr>
            </w:pPr>
            <w:r w:rsidRPr="001E739D">
              <w:rPr>
                <w:sz w:val="22"/>
                <w:szCs w:val="22"/>
              </w:rPr>
              <w:t>-.158***</w:t>
            </w:r>
          </w:p>
          <w:p w14:paraId="730AEA09" w14:textId="77777777" w:rsidR="002C1E51" w:rsidRPr="001E739D" w:rsidRDefault="002C1E51" w:rsidP="00D056DA">
            <w:pPr>
              <w:jc w:val="center"/>
              <w:rPr>
                <w:sz w:val="22"/>
                <w:szCs w:val="22"/>
              </w:rPr>
            </w:pPr>
            <w:r w:rsidRPr="001E739D">
              <w:rPr>
                <w:sz w:val="22"/>
                <w:szCs w:val="22"/>
              </w:rPr>
              <w:t>(.041)</w:t>
            </w:r>
          </w:p>
        </w:tc>
        <w:tc>
          <w:tcPr>
            <w:tcW w:w="765" w:type="pct"/>
          </w:tcPr>
          <w:p w14:paraId="04C14718" w14:textId="77777777" w:rsidR="002C1E51" w:rsidRPr="001E739D" w:rsidRDefault="002C1E51" w:rsidP="00D056DA">
            <w:pPr>
              <w:jc w:val="center"/>
              <w:rPr>
                <w:sz w:val="22"/>
                <w:szCs w:val="22"/>
              </w:rPr>
            </w:pPr>
            <w:r w:rsidRPr="001E739D">
              <w:rPr>
                <w:sz w:val="22"/>
                <w:szCs w:val="22"/>
              </w:rPr>
              <w:t>-.149***</w:t>
            </w:r>
          </w:p>
          <w:p w14:paraId="05D125E2" w14:textId="77777777" w:rsidR="002C1E51" w:rsidRPr="001E739D" w:rsidRDefault="002C1E51" w:rsidP="00D056DA">
            <w:pPr>
              <w:jc w:val="center"/>
              <w:rPr>
                <w:sz w:val="22"/>
                <w:szCs w:val="22"/>
              </w:rPr>
            </w:pPr>
            <w:r w:rsidRPr="001E739D">
              <w:rPr>
                <w:sz w:val="22"/>
                <w:szCs w:val="22"/>
              </w:rPr>
              <w:t>(.041)</w:t>
            </w:r>
          </w:p>
        </w:tc>
      </w:tr>
      <w:tr w:rsidR="002C1E51" w:rsidRPr="001E739D" w14:paraId="5EA66FA7" w14:textId="77777777" w:rsidTr="00D056DA">
        <w:tc>
          <w:tcPr>
            <w:tcW w:w="1888" w:type="pct"/>
          </w:tcPr>
          <w:p w14:paraId="7B56BFB3" w14:textId="77777777" w:rsidR="002C1E51" w:rsidRPr="001E739D" w:rsidRDefault="002C1E51" w:rsidP="00D056DA">
            <w:pPr>
              <w:rPr>
                <w:sz w:val="22"/>
                <w:szCs w:val="22"/>
              </w:rPr>
            </w:pPr>
            <w:r w:rsidRPr="001E739D">
              <w:rPr>
                <w:sz w:val="22"/>
                <w:szCs w:val="22"/>
              </w:rPr>
              <w:t>Military Expenditures</w:t>
            </w:r>
          </w:p>
        </w:tc>
        <w:tc>
          <w:tcPr>
            <w:tcW w:w="874" w:type="pct"/>
          </w:tcPr>
          <w:p w14:paraId="4A052752" w14:textId="77777777" w:rsidR="002C1E51" w:rsidRPr="001E739D" w:rsidRDefault="002C1E51" w:rsidP="00D056DA">
            <w:pPr>
              <w:jc w:val="center"/>
              <w:rPr>
                <w:sz w:val="22"/>
                <w:szCs w:val="22"/>
              </w:rPr>
            </w:pPr>
            <w:r w:rsidRPr="001E739D">
              <w:rPr>
                <w:sz w:val="22"/>
                <w:szCs w:val="22"/>
              </w:rPr>
              <w:t>.064*</w:t>
            </w:r>
          </w:p>
          <w:p w14:paraId="42C240D7" w14:textId="77777777" w:rsidR="002C1E51" w:rsidRPr="001E739D" w:rsidRDefault="002C1E51" w:rsidP="00D056DA">
            <w:pPr>
              <w:jc w:val="center"/>
              <w:rPr>
                <w:sz w:val="22"/>
                <w:szCs w:val="22"/>
              </w:rPr>
            </w:pPr>
            <w:r w:rsidRPr="001E739D">
              <w:rPr>
                <w:sz w:val="22"/>
                <w:szCs w:val="22"/>
              </w:rPr>
              <w:t>(.026)</w:t>
            </w:r>
          </w:p>
        </w:tc>
        <w:tc>
          <w:tcPr>
            <w:tcW w:w="710" w:type="pct"/>
          </w:tcPr>
          <w:p w14:paraId="313E5FF5" w14:textId="77777777" w:rsidR="002C1E51" w:rsidRPr="001E739D" w:rsidRDefault="002C1E51" w:rsidP="00D056DA">
            <w:pPr>
              <w:jc w:val="center"/>
              <w:rPr>
                <w:sz w:val="22"/>
                <w:szCs w:val="22"/>
              </w:rPr>
            </w:pPr>
            <w:r w:rsidRPr="001E739D">
              <w:rPr>
                <w:sz w:val="22"/>
                <w:szCs w:val="22"/>
              </w:rPr>
              <w:t>.061*</w:t>
            </w:r>
          </w:p>
          <w:p w14:paraId="40F40A67" w14:textId="77777777" w:rsidR="002C1E51" w:rsidRPr="001E739D" w:rsidRDefault="002C1E51" w:rsidP="00D056DA">
            <w:pPr>
              <w:jc w:val="center"/>
              <w:rPr>
                <w:sz w:val="22"/>
                <w:szCs w:val="22"/>
              </w:rPr>
            </w:pPr>
            <w:r w:rsidRPr="001E739D">
              <w:rPr>
                <w:sz w:val="22"/>
                <w:szCs w:val="22"/>
              </w:rPr>
              <w:t>(.023)</w:t>
            </w:r>
          </w:p>
        </w:tc>
        <w:tc>
          <w:tcPr>
            <w:tcW w:w="763" w:type="pct"/>
          </w:tcPr>
          <w:p w14:paraId="6D3FE76F" w14:textId="77777777" w:rsidR="002C1E51" w:rsidRPr="001E739D" w:rsidRDefault="002C1E51" w:rsidP="00D056DA">
            <w:pPr>
              <w:jc w:val="center"/>
              <w:rPr>
                <w:sz w:val="22"/>
                <w:szCs w:val="22"/>
              </w:rPr>
            </w:pPr>
            <w:r w:rsidRPr="001E739D">
              <w:rPr>
                <w:sz w:val="22"/>
                <w:szCs w:val="22"/>
              </w:rPr>
              <w:t>.062*</w:t>
            </w:r>
          </w:p>
          <w:p w14:paraId="479E7B3E" w14:textId="77777777" w:rsidR="002C1E51" w:rsidRPr="001E739D" w:rsidRDefault="002C1E51" w:rsidP="00D056DA">
            <w:pPr>
              <w:jc w:val="center"/>
              <w:rPr>
                <w:sz w:val="22"/>
                <w:szCs w:val="22"/>
              </w:rPr>
            </w:pPr>
            <w:r w:rsidRPr="001E739D">
              <w:rPr>
                <w:sz w:val="22"/>
                <w:szCs w:val="22"/>
              </w:rPr>
              <w:t>(.026)</w:t>
            </w:r>
          </w:p>
        </w:tc>
        <w:tc>
          <w:tcPr>
            <w:tcW w:w="765" w:type="pct"/>
          </w:tcPr>
          <w:p w14:paraId="25EAE559" w14:textId="77777777" w:rsidR="002C1E51" w:rsidRPr="001E739D" w:rsidRDefault="002C1E51" w:rsidP="00D056DA">
            <w:pPr>
              <w:jc w:val="center"/>
              <w:rPr>
                <w:sz w:val="22"/>
                <w:szCs w:val="22"/>
              </w:rPr>
            </w:pPr>
            <w:r w:rsidRPr="001E739D">
              <w:rPr>
                <w:sz w:val="22"/>
                <w:szCs w:val="22"/>
              </w:rPr>
              <w:t>.065*</w:t>
            </w:r>
          </w:p>
          <w:p w14:paraId="3F6D496B" w14:textId="77777777" w:rsidR="002C1E51" w:rsidRPr="001E739D" w:rsidRDefault="002C1E51" w:rsidP="00D056DA">
            <w:pPr>
              <w:jc w:val="center"/>
              <w:rPr>
                <w:sz w:val="22"/>
                <w:szCs w:val="22"/>
              </w:rPr>
            </w:pPr>
            <w:r w:rsidRPr="001E739D">
              <w:rPr>
                <w:sz w:val="22"/>
                <w:szCs w:val="22"/>
              </w:rPr>
              <w:t>(.026)</w:t>
            </w:r>
          </w:p>
        </w:tc>
      </w:tr>
      <w:tr w:rsidR="002C1E51" w:rsidRPr="001E739D" w14:paraId="693544EA" w14:textId="77777777" w:rsidTr="00D056DA">
        <w:tc>
          <w:tcPr>
            <w:tcW w:w="1888" w:type="pct"/>
          </w:tcPr>
          <w:p w14:paraId="32163515" w14:textId="77777777" w:rsidR="002C1E51" w:rsidRPr="001E739D" w:rsidRDefault="002C1E51" w:rsidP="00D056DA">
            <w:pPr>
              <w:rPr>
                <w:sz w:val="22"/>
                <w:szCs w:val="22"/>
              </w:rPr>
            </w:pPr>
            <w:r w:rsidRPr="001E739D">
              <w:rPr>
                <w:sz w:val="22"/>
                <w:szCs w:val="22"/>
              </w:rPr>
              <w:t>Democracy</w:t>
            </w:r>
          </w:p>
        </w:tc>
        <w:tc>
          <w:tcPr>
            <w:tcW w:w="874" w:type="pct"/>
          </w:tcPr>
          <w:p w14:paraId="18FF312F" w14:textId="77777777" w:rsidR="002C1E51" w:rsidRPr="001E739D" w:rsidRDefault="002C1E51" w:rsidP="00D056DA">
            <w:pPr>
              <w:jc w:val="center"/>
              <w:rPr>
                <w:sz w:val="22"/>
                <w:szCs w:val="22"/>
              </w:rPr>
            </w:pPr>
            <w:r w:rsidRPr="001E739D">
              <w:rPr>
                <w:sz w:val="22"/>
                <w:szCs w:val="22"/>
              </w:rPr>
              <w:t>-.006*</w:t>
            </w:r>
          </w:p>
          <w:p w14:paraId="110EA7A7" w14:textId="77777777" w:rsidR="002C1E51" w:rsidRPr="001E739D" w:rsidRDefault="002C1E51" w:rsidP="00D056DA">
            <w:pPr>
              <w:jc w:val="center"/>
              <w:rPr>
                <w:sz w:val="22"/>
                <w:szCs w:val="22"/>
              </w:rPr>
            </w:pPr>
            <w:r w:rsidRPr="001E739D">
              <w:rPr>
                <w:sz w:val="22"/>
                <w:szCs w:val="22"/>
              </w:rPr>
              <w:t>(.003)</w:t>
            </w:r>
          </w:p>
        </w:tc>
        <w:tc>
          <w:tcPr>
            <w:tcW w:w="710" w:type="pct"/>
          </w:tcPr>
          <w:p w14:paraId="7A426165" w14:textId="77777777" w:rsidR="002C1E51" w:rsidRPr="001E739D" w:rsidRDefault="002C1E51" w:rsidP="00D056DA">
            <w:pPr>
              <w:jc w:val="center"/>
              <w:rPr>
                <w:sz w:val="22"/>
                <w:szCs w:val="22"/>
              </w:rPr>
            </w:pPr>
            <w:r w:rsidRPr="001E739D">
              <w:rPr>
                <w:sz w:val="22"/>
                <w:szCs w:val="22"/>
              </w:rPr>
              <w:t>-.006#</w:t>
            </w:r>
          </w:p>
          <w:p w14:paraId="5F9F5494" w14:textId="77777777" w:rsidR="002C1E51" w:rsidRPr="001E739D" w:rsidRDefault="002C1E51" w:rsidP="00D056DA">
            <w:pPr>
              <w:jc w:val="center"/>
              <w:rPr>
                <w:sz w:val="22"/>
                <w:szCs w:val="22"/>
              </w:rPr>
            </w:pPr>
            <w:r w:rsidRPr="001E739D">
              <w:rPr>
                <w:sz w:val="22"/>
                <w:szCs w:val="22"/>
              </w:rPr>
              <w:t>(.003)</w:t>
            </w:r>
          </w:p>
        </w:tc>
        <w:tc>
          <w:tcPr>
            <w:tcW w:w="763" w:type="pct"/>
          </w:tcPr>
          <w:p w14:paraId="7E7C9963" w14:textId="77777777" w:rsidR="002C1E51" w:rsidRPr="001E739D" w:rsidRDefault="002C1E51" w:rsidP="00D056DA">
            <w:pPr>
              <w:jc w:val="center"/>
              <w:rPr>
                <w:sz w:val="22"/>
                <w:szCs w:val="22"/>
              </w:rPr>
            </w:pPr>
            <w:r w:rsidRPr="001E739D">
              <w:rPr>
                <w:sz w:val="22"/>
                <w:szCs w:val="22"/>
              </w:rPr>
              <w:t>-.006*</w:t>
            </w:r>
          </w:p>
          <w:p w14:paraId="0D157330" w14:textId="77777777" w:rsidR="002C1E51" w:rsidRPr="001E739D" w:rsidRDefault="002C1E51" w:rsidP="00D056DA">
            <w:pPr>
              <w:jc w:val="center"/>
              <w:rPr>
                <w:sz w:val="22"/>
                <w:szCs w:val="22"/>
              </w:rPr>
            </w:pPr>
            <w:r w:rsidRPr="001E739D">
              <w:rPr>
                <w:sz w:val="22"/>
                <w:szCs w:val="22"/>
              </w:rPr>
              <w:t>(.003)</w:t>
            </w:r>
          </w:p>
        </w:tc>
        <w:tc>
          <w:tcPr>
            <w:tcW w:w="765" w:type="pct"/>
          </w:tcPr>
          <w:p w14:paraId="0AF0B49C" w14:textId="77777777" w:rsidR="002C1E51" w:rsidRPr="001E739D" w:rsidRDefault="002C1E51" w:rsidP="00D056DA">
            <w:pPr>
              <w:jc w:val="center"/>
              <w:rPr>
                <w:sz w:val="22"/>
                <w:szCs w:val="22"/>
              </w:rPr>
            </w:pPr>
            <w:r w:rsidRPr="001E739D">
              <w:rPr>
                <w:sz w:val="22"/>
                <w:szCs w:val="22"/>
              </w:rPr>
              <w:t>-.005#</w:t>
            </w:r>
          </w:p>
          <w:p w14:paraId="4F4D72AD" w14:textId="77777777" w:rsidR="002C1E51" w:rsidRPr="001E739D" w:rsidRDefault="002C1E51" w:rsidP="00D056DA">
            <w:pPr>
              <w:jc w:val="center"/>
              <w:rPr>
                <w:sz w:val="22"/>
                <w:szCs w:val="22"/>
              </w:rPr>
            </w:pPr>
            <w:r w:rsidRPr="001E739D">
              <w:rPr>
                <w:sz w:val="22"/>
                <w:szCs w:val="22"/>
              </w:rPr>
              <w:t>(.003)</w:t>
            </w:r>
          </w:p>
        </w:tc>
      </w:tr>
      <w:tr w:rsidR="002C1E51" w:rsidRPr="001E739D" w14:paraId="149F82E3" w14:textId="77777777" w:rsidTr="00D056DA">
        <w:tc>
          <w:tcPr>
            <w:tcW w:w="1888" w:type="pct"/>
          </w:tcPr>
          <w:p w14:paraId="3BA1BEB1" w14:textId="77777777" w:rsidR="002C1E51" w:rsidRPr="001E739D" w:rsidRDefault="002C1E51" w:rsidP="00D056DA">
            <w:pPr>
              <w:rPr>
                <w:sz w:val="22"/>
                <w:szCs w:val="22"/>
              </w:rPr>
            </w:pPr>
            <w:r w:rsidRPr="001E739D">
              <w:rPr>
                <w:sz w:val="22"/>
                <w:szCs w:val="22"/>
              </w:rPr>
              <w:t>Constant</w:t>
            </w:r>
          </w:p>
        </w:tc>
        <w:tc>
          <w:tcPr>
            <w:tcW w:w="874" w:type="pct"/>
          </w:tcPr>
          <w:p w14:paraId="471D658A" w14:textId="77777777" w:rsidR="002C1E51" w:rsidRPr="001E739D" w:rsidRDefault="002C1E51" w:rsidP="00D056DA">
            <w:pPr>
              <w:jc w:val="center"/>
              <w:rPr>
                <w:sz w:val="22"/>
                <w:szCs w:val="22"/>
              </w:rPr>
            </w:pPr>
            <w:r w:rsidRPr="001E739D">
              <w:rPr>
                <w:sz w:val="22"/>
                <w:szCs w:val="22"/>
              </w:rPr>
              <w:t>6.73***</w:t>
            </w:r>
          </w:p>
          <w:p w14:paraId="4DCD45C9" w14:textId="77777777" w:rsidR="002C1E51" w:rsidRPr="001E739D" w:rsidRDefault="002C1E51" w:rsidP="00D056DA">
            <w:pPr>
              <w:jc w:val="center"/>
              <w:rPr>
                <w:sz w:val="22"/>
                <w:szCs w:val="22"/>
              </w:rPr>
            </w:pPr>
            <w:r w:rsidRPr="001E739D">
              <w:rPr>
                <w:sz w:val="22"/>
                <w:szCs w:val="22"/>
              </w:rPr>
              <w:t>(.164)</w:t>
            </w:r>
          </w:p>
        </w:tc>
        <w:tc>
          <w:tcPr>
            <w:tcW w:w="710" w:type="pct"/>
          </w:tcPr>
          <w:p w14:paraId="56FB0403" w14:textId="77777777" w:rsidR="002C1E51" w:rsidRPr="001E739D" w:rsidRDefault="002C1E51" w:rsidP="00D056DA">
            <w:pPr>
              <w:jc w:val="center"/>
              <w:rPr>
                <w:sz w:val="22"/>
                <w:szCs w:val="22"/>
              </w:rPr>
            </w:pPr>
            <w:r w:rsidRPr="001E739D">
              <w:rPr>
                <w:sz w:val="22"/>
                <w:szCs w:val="22"/>
              </w:rPr>
              <w:t>6.65***</w:t>
            </w:r>
          </w:p>
          <w:p w14:paraId="76D5D8AE" w14:textId="77777777" w:rsidR="002C1E51" w:rsidRPr="001E739D" w:rsidRDefault="002C1E51" w:rsidP="00D056DA">
            <w:pPr>
              <w:jc w:val="center"/>
              <w:rPr>
                <w:sz w:val="22"/>
                <w:szCs w:val="22"/>
              </w:rPr>
            </w:pPr>
            <w:r w:rsidRPr="001E739D">
              <w:rPr>
                <w:sz w:val="22"/>
                <w:szCs w:val="22"/>
              </w:rPr>
              <w:t>(.160)</w:t>
            </w:r>
          </w:p>
        </w:tc>
        <w:tc>
          <w:tcPr>
            <w:tcW w:w="763" w:type="pct"/>
          </w:tcPr>
          <w:p w14:paraId="04E67324" w14:textId="77777777" w:rsidR="002C1E51" w:rsidRPr="001E739D" w:rsidRDefault="002C1E51" w:rsidP="00D056DA">
            <w:pPr>
              <w:jc w:val="center"/>
              <w:rPr>
                <w:sz w:val="22"/>
                <w:szCs w:val="22"/>
              </w:rPr>
            </w:pPr>
            <w:r w:rsidRPr="001E739D">
              <w:rPr>
                <w:sz w:val="22"/>
                <w:szCs w:val="22"/>
              </w:rPr>
              <w:t>6.69***</w:t>
            </w:r>
          </w:p>
          <w:p w14:paraId="17DBDD29" w14:textId="77777777" w:rsidR="002C1E51" w:rsidRPr="001E739D" w:rsidRDefault="002C1E51" w:rsidP="00D056DA">
            <w:pPr>
              <w:jc w:val="center"/>
              <w:rPr>
                <w:sz w:val="22"/>
                <w:szCs w:val="22"/>
              </w:rPr>
            </w:pPr>
            <w:r w:rsidRPr="001E739D">
              <w:rPr>
                <w:sz w:val="22"/>
                <w:szCs w:val="22"/>
              </w:rPr>
              <w:t>(.163)</w:t>
            </w:r>
          </w:p>
        </w:tc>
        <w:tc>
          <w:tcPr>
            <w:tcW w:w="765" w:type="pct"/>
          </w:tcPr>
          <w:p w14:paraId="68C02065" w14:textId="77777777" w:rsidR="002C1E51" w:rsidRPr="001E739D" w:rsidRDefault="002C1E51" w:rsidP="00D056DA">
            <w:pPr>
              <w:jc w:val="center"/>
              <w:rPr>
                <w:sz w:val="22"/>
                <w:szCs w:val="22"/>
              </w:rPr>
            </w:pPr>
            <w:r w:rsidRPr="001E739D">
              <w:rPr>
                <w:sz w:val="22"/>
                <w:szCs w:val="22"/>
              </w:rPr>
              <w:t>6.64***</w:t>
            </w:r>
          </w:p>
          <w:p w14:paraId="2DA7ACDE" w14:textId="77777777" w:rsidR="002C1E51" w:rsidRPr="001E739D" w:rsidRDefault="002C1E51" w:rsidP="00D056DA">
            <w:pPr>
              <w:jc w:val="center"/>
              <w:rPr>
                <w:sz w:val="22"/>
                <w:szCs w:val="22"/>
              </w:rPr>
            </w:pPr>
            <w:r w:rsidRPr="001E739D">
              <w:rPr>
                <w:sz w:val="22"/>
                <w:szCs w:val="22"/>
              </w:rPr>
              <w:t>(.162)</w:t>
            </w:r>
          </w:p>
        </w:tc>
      </w:tr>
      <w:tr w:rsidR="002C1E51" w:rsidRPr="001E739D" w14:paraId="477E9C7F" w14:textId="77777777" w:rsidTr="00D056DA">
        <w:tc>
          <w:tcPr>
            <w:tcW w:w="1888" w:type="pct"/>
          </w:tcPr>
          <w:p w14:paraId="466D07D2" w14:textId="77777777" w:rsidR="002C1E51" w:rsidRPr="001E739D" w:rsidRDefault="002C1E51" w:rsidP="00D056DA">
            <w:pPr>
              <w:rPr>
                <w:sz w:val="22"/>
                <w:szCs w:val="22"/>
                <w:vertAlign w:val="superscript"/>
              </w:rPr>
            </w:pPr>
            <w:r w:rsidRPr="001E739D">
              <w:rPr>
                <w:sz w:val="22"/>
                <w:szCs w:val="22"/>
              </w:rPr>
              <w:t>Overall R</w:t>
            </w:r>
            <w:r w:rsidRPr="001E739D">
              <w:rPr>
                <w:sz w:val="22"/>
                <w:szCs w:val="22"/>
                <w:vertAlign w:val="superscript"/>
              </w:rPr>
              <w:t>2</w:t>
            </w:r>
          </w:p>
          <w:p w14:paraId="5FD1D675" w14:textId="77777777" w:rsidR="002C1E51" w:rsidRPr="001E739D" w:rsidRDefault="002C1E51" w:rsidP="00D056DA">
            <w:pPr>
              <w:rPr>
                <w:sz w:val="22"/>
                <w:szCs w:val="22"/>
                <w:vertAlign w:val="superscript"/>
              </w:rPr>
            </w:pPr>
            <w:r w:rsidRPr="001E739D">
              <w:rPr>
                <w:sz w:val="22"/>
                <w:szCs w:val="22"/>
              </w:rPr>
              <w:t>Within R</w:t>
            </w:r>
            <w:r w:rsidRPr="001E739D">
              <w:rPr>
                <w:sz w:val="22"/>
                <w:szCs w:val="22"/>
                <w:vertAlign w:val="superscript"/>
              </w:rPr>
              <w:t>2</w:t>
            </w:r>
          </w:p>
          <w:p w14:paraId="101D382C" w14:textId="77777777" w:rsidR="002C1E51" w:rsidRPr="001E739D" w:rsidRDefault="002C1E51" w:rsidP="00D056DA">
            <w:pPr>
              <w:rPr>
                <w:sz w:val="22"/>
                <w:szCs w:val="22"/>
              </w:rPr>
            </w:pPr>
            <w:r w:rsidRPr="001E739D">
              <w:rPr>
                <w:sz w:val="22"/>
                <w:szCs w:val="22"/>
              </w:rPr>
              <w:t>N</w:t>
            </w:r>
          </w:p>
          <w:p w14:paraId="4C00B884" w14:textId="77777777" w:rsidR="002C1E51" w:rsidRPr="001E739D" w:rsidRDefault="002C1E51" w:rsidP="00D056DA">
            <w:pPr>
              <w:rPr>
                <w:sz w:val="22"/>
                <w:szCs w:val="22"/>
              </w:rPr>
            </w:pPr>
            <w:r w:rsidRPr="001E739D">
              <w:rPr>
                <w:sz w:val="22"/>
                <w:szCs w:val="22"/>
              </w:rPr>
              <w:t>Average N</w:t>
            </w:r>
          </w:p>
        </w:tc>
        <w:tc>
          <w:tcPr>
            <w:tcW w:w="874" w:type="pct"/>
          </w:tcPr>
          <w:p w14:paraId="52B37333" w14:textId="77777777" w:rsidR="002C1E51" w:rsidRPr="001E739D" w:rsidRDefault="002C1E51" w:rsidP="00D056DA">
            <w:pPr>
              <w:jc w:val="center"/>
              <w:rPr>
                <w:sz w:val="22"/>
                <w:szCs w:val="22"/>
              </w:rPr>
            </w:pPr>
            <w:r w:rsidRPr="001E739D">
              <w:rPr>
                <w:sz w:val="22"/>
                <w:szCs w:val="22"/>
              </w:rPr>
              <w:t>.707</w:t>
            </w:r>
          </w:p>
          <w:p w14:paraId="49573DCC" w14:textId="77777777" w:rsidR="002C1E51" w:rsidRPr="001E739D" w:rsidRDefault="002C1E51" w:rsidP="00D056DA">
            <w:pPr>
              <w:jc w:val="center"/>
              <w:rPr>
                <w:sz w:val="22"/>
                <w:szCs w:val="22"/>
              </w:rPr>
            </w:pPr>
            <w:r w:rsidRPr="001E739D">
              <w:rPr>
                <w:sz w:val="22"/>
                <w:szCs w:val="22"/>
              </w:rPr>
              <w:t>.712</w:t>
            </w:r>
          </w:p>
          <w:p w14:paraId="32EAA5E2" w14:textId="77777777" w:rsidR="002C1E51" w:rsidRPr="001E739D" w:rsidRDefault="002C1E51" w:rsidP="00D056DA">
            <w:pPr>
              <w:jc w:val="center"/>
              <w:rPr>
                <w:sz w:val="22"/>
                <w:szCs w:val="22"/>
              </w:rPr>
            </w:pPr>
            <w:r w:rsidRPr="001E739D">
              <w:rPr>
                <w:sz w:val="22"/>
                <w:szCs w:val="22"/>
              </w:rPr>
              <w:t>2073</w:t>
            </w:r>
          </w:p>
          <w:p w14:paraId="6EEAA2B8" w14:textId="77777777" w:rsidR="002C1E51" w:rsidRPr="001E739D" w:rsidRDefault="002C1E51" w:rsidP="00D056DA">
            <w:pPr>
              <w:jc w:val="center"/>
              <w:rPr>
                <w:sz w:val="22"/>
                <w:szCs w:val="22"/>
              </w:rPr>
            </w:pPr>
            <w:r w:rsidRPr="001E739D">
              <w:rPr>
                <w:sz w:val="22"/>
                <w:szCs w:val="22"/>
              </w:rPr>
              <w:t>15.7</w:t>
            </w:r>
          </w:p>
        </w:tc>
        <w:tc>
          <w:tcPr>
            <w:tcW w:w="710" w:type="pct"/>
          </w:tcPr>
          <w:p w14:paraId="3A7161F5" w14:textId="77777777" w:rsidR="002C1E51" w:rsidRPr="001E739D" w:rsidRDefault="002C1E51" w:rsidP="00D056DA">
            <w:pPr>
              <w:jc w:val="center"/>
              <w:rPr>
                <w:sz w:val="22"/>
                <w:szCs w:val="22"/>
              </w:rPr>
            </w:pPr>
            <w:r w:rsidRPr="001E739D">
              <w:rPr>
                <w:sz w:val="22"/>
                <w:szCs w:val="22"/>
              </w:rPr>
              <w:t>.699</w:t>
            </w:r>
          </w:p>
          <w:p w14:paraId="2AC7CA3F" w14:textId="77777777" w:rsidR="002C1E51" w:rsidRPr="001E739D" w:rsidRDefault="002C1E51" w:rsidP="00D056DA">
            <w:pPr>
              <w:jc w:val="center"/>
              <w:rPr>
                <w:sz w:val="22"/>
                <w:szCs w:val="22"/>
              </w:rPr>
            </w:pPr>
            <w:r w:rsidRPr="001E739D">
              <w:rPr>
                <w:sz w:val="22"/>
                <w:szCs w:val="22"/>
              </w:rPr>
              <w:t>.714</w:t>
            </w:r>
          </w:p>
          <w:p w14:paraId="4DA6AF59" w14:textId="77777777" w:rsidR="002C1E51" w:rsidRPr="001E739D" w:rsidRDefault="002C1E51" w:rsidP="00D056DA">
            <w:pPr>
              <w:jc w:val="center"/>
              <w:rPr>
                <w:sz w:val="22"/>
                <w:szCs w:val="22"/>
              </w:rPr>
            </w:pPr>
            <w:r w:rsidRPr="001E739D">
              <w:rPr>
                <w:sz w:val="22"/>
                <w:szCs w:val="22"/>
              </w:rPr>
              <w:t>2073</w:t>
            </w:r>
          </w:p>
          <w:p w14:paraId="0EA1C8B8" w14:textId="77777777" w:rsidR="002C1E51" w:rsidRPr="001E739D" w:rsidRDefault="002C1E51" w:rsidP="00D056DA">
            <w:pPr>
              <w:jc w:val="center"/>
              <w:rPr>
                <w:sz w:val="22"/>
                <w:szCs w:val="22"/>
              </w:rPr>
            </w:pPr>
            <w:r w:rsidRPr="001E739D">
              <w:rPr>
                <w:sz w:val="22"/>
                <w:szCs w:val="22"/>
              </w:rPr>
              <w:t>15.7</w:t>
            </w:r>
          </w:p>
        </w:tc>
        <w:tc>
          <w:tcPr>
            <w:tcW w:w="763" w:type="pct"/>
          </w:tcPr>
          <w:p w14:paraId="6F9DF715" w14:textId="77777777" w:rsidR="002C1E51" w:rsidRPr="001E739D" w:rsidRDefault="002C1E51" w:rsidP="00D056DA">
            <w:pPr>
              <w:jc w:val="center"/>
              <w:rPr>
                <w:sz w:val="22"/>
                <w:szCs w:val="22"/>
              </w:rPr>
            </w:pPr>
            <w:r w:rsidRPr="001E739D">
              <w:rPr>
                <w:sz w:val="22"/>
                <w:szCs w:val="22"/>
              </w:rPr>
              <w:t>.699</w:t>
            </w:r>
          </w:p>
          <w:p w14:paraId="1A1CE255" w14:textId="77777777" w:rsidR="002C1E51" w:rsidRPr="001E739D" w:rsidRDefault="002C1E51" w:rsidP="00D056DA">
            <w:pPr>
              <w:jc w:val="center"/>
              <w:rPr>
                <w:sz w:val="22"/>
                <w:szCs w:val="22"/>
              </w:rPr>
            </w:pPr>
            <w:r w:rsidRPr="001E739D">
              <w:rPr>
                <w:sz w:val="22"/>
                <w:szCs w:val="22"/>
              </w:rPr>
              <w:t>.719</w:t>
            </w:r>
          </w:p>
          <w:p w14:paraId="61239A8A" w14:textId="77777777" w:rsidR="002C1E51" w:rsidRPr="001E739D" w:rsidRDefault="002C1E51" w:rsidP="00D056DA">
            <w:pPr>
              <w:jc w:val="center"/>
              <w:rPr>
                <w:sz w:val="22"/>
                <w:szCs w:val="22"/>
              </w:rPr>
            </w:pPr>
            <w:r w:rsidRPr="001E739D">
              <w:rPr>
                <w:sz w:val="22"/>
                <w:szCs w:val="22"/>
              </w:rPr>
              <w:t>2073</w:t>
            </w:r>
          </w:p>
          <w:p w14:paraId="2DEC7ACC" w14:textId="77777777" w:rsidR="002C1E51" w:rsidRPr="001E739D" w:rsidRDefault="002C1E51" w:rsidP="00D056DA">
            <w:pPr>
              <w:jc w:val="center"/>
              <w:rPr>
                <w:sz w:val="22"/>
                <w:szCs w:val="22"/>
              </w:rPr>
            </w:pPr>
            <w:r w:rsidRPr="001E739D">
              <w:rPr>
                <w:sz w:val="22"/>
                <w:szCs w:val="22"/>
              </w:rPr>
              <w:t>15.7</w:t>
            </w:r>
          </w:p>
        </w:tc>
        <w:tc>
          <w:tcPr>
            <w:tcW w:w="765" w:type="pct"/>
          </w:tcPr>
          <w:p w14:paraId="642FB5B4" w14:textId="77777777" w:rsidR="002C1E51" w:rsidRPr="001E739D" w:rsidRDefault="002C1E51" w:rsidP="00D056DA">
            <w:pPr>
              <w:jc w:val="center"/>
              <w:rPr>
                <w:sz w:val="22"/>
                <w:szCs w:val="22"/>
              </w:rPr>
            </w:pPr>
            <w:r w:rsidRPr="001E739D">
              <w:rPr>
                <w:sz w:val="22"/>
                <w:szCs w:val="22"/>
              </w:rPr>
              <w:t>.699</w:t>
            </w:r>
          </w:p>
          <w:p w14:paraId="155AB32E" w14:textId="77777777" w:rsidR="002C1E51" w:rsidRPr="001E739D" w:rsidRDefault="002C1E51" w:rsidP="00D056DA">
            <w:pPr>
              <w:jc w:val="center"/>
              <w:rPr>
                <w:sz w:val="22"/>
                <w:szCs w:val="22"/>
              </w:rPr>
            </w:pPr>
            <w:r w:rsidRPr="001E739D">
              <w:rPr>
                <w:sz w:val="22"/>
                <w:szCs w:val="22"/>
              </w:rPr>
              <w:t>.716</w:t>
            </w:r>
          </w:p>
          <w:p w14:paraId="539897B1" w14:textId="77777777" w:rsidR="002C1E51" w:rsidRPr="001E739D" w:rsidRDefault="002C1E51" w:rsidP="00D056DA">
            <w:pPr>
              <w:jc w:val="center"/>
              <w:rPr>
                <w:sz w:val="22"/>
                <w:szCs w:val="22"/>
              </w:rPr>
            </w:pPr>
            <w:r w:rsidRPr="001E739D">
              <w:rPr>
                <w:sz w:val="22"/>
                <w:szCs w:val="22"/>
              </w:rPr>
              <w:t>2073</w:t>
            </w:r>
          </w:p>
          <w:p w14:paraId="2000530B" w14:textId="77777777" w:rsidR="002C1E51" w:rsidRPr="001E739D" w:rsidRDefault="002C1E51" w:rsidP="00D056DA">
            <w:pPr>
              <w:jc w:val="center"/>
              <w:rPr>
                <w:sz w:val="22"/>
                <w:szCs w:val="22"/>
              </w:rPr>
            </w:pPr>
            <w:r w:rsidRPr="001E739D">
              <w:rPr>
                <w:sz w:val="22"/>
                <w:szCs w:val="22"/>
              </w:rPr>
              <w:t>15.7</w:t>
            </w:r>
          </w:p>
        </w:tc>
      </w:tr>
    </w:tbl>
    <w:p w14:paraId="44732673" w14:textId="77777777" w:rsidR="002C1E51" w:rsidRDefault="002C1E51" w:rsidP="001D6040">
      <w:pPr>
        <w:pStyle w:val="NoSpacing"/>
        <w:rPr>
          <w:rFonts w:eastAsia="Times New Roman"/>
          <w:lang w:eastAsia="en-US"/>
        </w:rPr>
      </w:pPr>
    </w:p>
    <w:p w14:paraId="5F468342" w14:textId="77777777" w:rsidR="002C1E51" w:rsidRDefault="002C1E51" w:rsidP="001D6040">
      <w:pPr>
        <w:pStyle w:val="NoSpacing"/>
        <w:rPr>
          <w:rFonts w:eastAsia="Times New Roman"/>
          <w:lang w:eastAsia="en-US"/>
        </w:rPr>
      </w:pPr>
    </w:p>
    <w:p w14:paraId="2F2673FD" w14:textId="77777777" w:rsidR="002C1E51" w:rsidRDefault="002C1E51" w:rsidP="001D6040">
      <w:pPr>
        <w:pStyle w:val="NoSpacing"/>
        <w:rPr>
          <w:rFonts w:eastAsia="Times New Roman"/>
          <w:lang w:eastAsia="en-US"/>
        </w:rPr>
      </w:pPr>
    </w:p>
    <w:tbl>
      <w:tblPr>
        <w:tblStyle w:val="TableGrid"/>
        <w:tblW w:w="0" w:type="auto"/>
        <w:tblLook w:val="04A0" w:firstRow="1" w:lastRow="0" w:firstColumn="1" w:lastColumn="0" w:noHBand="0" w:noVBand="1"/>
      </w:tblPr>
      <w:tblGrid>
        <w:gridCol w:w="3051"/>
        <w:gridCol w:w="656"/>
        <w:gridCol w:w="717"/>
        <w:gridCol w:w="711"/>
        <w:gridCol w:w="785"/>
        <w:gridCol w:w="711"/>
      </w:tblGrid>
      <w:tr w:rsidR="002C1E51" w:rsidRPr="002C1E51" w14:paraId="18E808A1" w14:textId="77777777" w:rsidTr="002C1E51">
        <w:tc>
          <w:tcPr>
            <w:tcW w:w="0" w:type="auto"/>
            <w:gridSpan w:val="6"/>
          </w:tcPr>
          <w:p w14:paraId="15131A63" w14:textId="7E5BA6BD" w:rsidR="002C1E51" w:rsidRPr="00A14EC5" w:rsidRDefault="007337E5" w:rsidP="007337E5">
            <w:pPr>
              <w:jc w:val="center"/>
              <w:rPr>
                <w:sz w:val="22"/>
                <w:szCs w:val="22"/>
              </w:rPr>
            </w:pPr>
            <w:r w:rsidRPr="00A14EC5">
              <w:rPr>
                <w:sz w:val="22"/>
                <w:szCs w:val="22"/>
              </w:rPr>
              <w:t>Appendix A: Variable Summary Table</w:t>
            </w:r>
          </w:p>
        </w:tc>
      </w:tr>
      <w:tr w:rsidR="002C1E51" w:rsidRPr="002C1E51" w14:paraId="67D68F24" w14:textId="77777777" w:rsidTr="002C1E51">
        <w:tc>
          <w:tcPr>
            <w:tcW w:w="0" w:type="auto"/>
          </w:tcPr>
          <w:p w14:paraId="189FD8F7" w14:textId="77777777" w:rsidR="002C1E51" w:rsidRPr="00A14EC5" w:rsidRDefault="002C1E51" w:rsidP="002C1E51">
            <w:pPr>
              <w:pStyle w:val="NoSpacing"/>
              <w:jc w:val="center"/>
              <w:rPr>
                <w:rFonts w:eastAsia="Times New Roman"/>
                <w:sz w:val="22"/>
                <w:szCs w:val="22"/>
                <w:lang w:eastAsia="en-US"/>
              </w:rPr>
            </w:pPr>
          </w:p>
        </w:tc>
        <w:tc>
          <w:tcPr>
            <w:tcW w:w="0" w:type="auto"/>
          </w:tcPr>
          <w:p w14:paraId="4753325A" w14:textId="6F0634D3"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Obs</w:t>
            </w:r>
          </w:p>
        </w:tc>
        <w:tc>
          <w:tcPr>
            <w:tcW w:w="0" w:type="auto"/>
          </w:tcPr>
          <w:p w14:paraId="5DBF907E" w14:textId="5C25627C"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Mean</w:t>
            </w:r>
          </w:p>
        </w:tc>
        <w:tc>
          <w:tcPr>
            <w:tcW w:w="0" w:type="auto"/>
          </w:tcPr>
          <w:p w14:paraId="19171DE6" w14:textId="2140152D"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SD</w:t>
            </w:r>
          </w:p>
        </w:tc>
        <w:tc>
          <w:tcPr>
            <w:tcW w:w="0" w:type="auto"/>
          </w:tcPr>
          <w:p w14:paraId="26E2B827" w14:textId="327928EE"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Min</w:t>
            </w:r>
          </w:p>
        </w:tc>
        <w:tc>
          <w:tcPr>
            <w:tcW w:w="0" w:type="auto"/>
          </w:tcPr>
          <w:p w14:paraId="62BF8177" w14:textId="6D23F42C"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Max</w:t>
            </w:r>
          </w:p>
        </w:tc>
      </w:tr>
      <w:tr w:rsidR="002C1E51" w:rsidRPr="002C1E51" w14:paraId="0445EAE2" w14:textId="77777777" w:rsidTr="002C1E51">
        <w:tc>
          <w:tcPr>
            <w:tcW w:w="0" w:type="auto"/>
          </w:tcPr>
          <w:p w14:paraId="2D3E3AE9" w14:textId="175B214A" w:rsidR="002C1E51" w:rsidRPr="00A14EC5" w:rsidRDefault="002C1E51" w:rsidP="001D6040">
            <w:pPr>
              <w:pStyle w:val="NoSpacing"/>
              <w:rPr>
                <w:rFonts w:eastAsia="Times New Roman"/>
                <w:sz w:val="22"/>
                <w:szCs w:val="22"/>
                <w:lang w:eastAsia="en-US"/>
              </w:rPr>
            </w:pPr>
            <w:r w:rsidRPr="00A14EC5">
              <w:rPr>
                <w:rFonts w:eastAsia="Times New Roman"/>
                <w:sz w:val="22"/>
                <w:szCs w:val="22"/>
                <w:lang w:eastAsia="en-US"/>
              </w:rPr>
              <w:t>Child Mortality (log)</w:t>
            </w:r>
          </w:p>
        </w:tc>
        <w:tc>
          <w:tcPr>
            <w:tcW w:w="0" w:type="auto"/>
          </w:tcPr>
          <w:p w14:paraId="4766C686" w14:textId="1E18DD8A"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2880</w:t>
            </w:r>
          </w:p>
        </w:tc>
        <w:tc>
          <w:tcPr>
            <w:tcW w:w="0" w:type="auto"/>
          </w:tcPr>
          <w:p w14:paraId="4CDAE044" w14:textId="3AF7BFD0"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3.58</w:t>
            </w:r>
          </w:p>
        </w:tc>
        <w:tc>
          <w:tcPr>
            <w:tcW w:w="0" w:type="auto"/>
          </w:tcPr>
          <w:p w14:paraId="03DA6587" w14:textId="4D866FBE"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1.02</w:t>
            </w:r>
          </w:p>
        </w:tc>
        <w:tc>
          <w:tcPr>
            <w:tcW w:w="0" w:type="auto"/>
          </w:tcPr>
          <w:p w14:paraId="6C7590D5" w14:textId="3979BC6B"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1.03</w:t>
            </w:r>
          </w:p>
        </w:tc>
        <w:tc>
          <w:tcPr>
            <w:tcW w:w="0" w:type="auto"/>
          </w:tcPr>
          <w:p w14:paraId="75421C55" w14:textId="0E3E1A09"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5.59</w:t>
            </w:r>
          </w:p>
        </w:tc>
      </w:tr>
      <w:tr w:rsidR="002C1E51" w:rsidRPr="002C1E51" w14:paraId="35F30DA4" w14:textId="77777777" w:rsidTr="002C1E51">
        <w:tc>
          <w:tcPr>
            <w:tcW w:w="0" w:type="auto"/>
          </w:tcPr>
          <w:p w14:paraId="09509947" w14:textId="50F13DD3" w:rsidR="002C1E51" w:rsidRPr="00A14EC5" w:rsidRDefault="002C1E51" w:rsidP="002C1E51">
            <w:pPr>
              <w:pStyle w:val="NoSpacing"/>
              <w:rPr>
                <w:rFonts w:eastAsia="Times New Roman"/>
                <w:sz w:val="22"/>
                <w:szCs w:val="22"/>
                <w:lang w:eastAsia="en-US"/>
              </w:rPr>
            </w:pPr>
            <w:r w:rsidRPr="00A14EC5">
              <w:rPr>
                <w:rFonts w:eastAsia="Times New Roman"/>
                <w:sz w:val="22"/>
                <w:szCs w:val="22"/>
                <w:lang w:eastAsia="en-US"/>
              </w:rPr>
              <w:t xml:space="preserve">IBRD and IDA </w:t>
            </w:r>
            <w:r w:rsidRPr="00A14EC5">
              <w:rPr>
                <w:rFonts w:eastAsia="Times New Roman"/>
                <w:sz w:val="22"/>
                <w:szCs w:val="22"/>
                <w:vertAlign w:val="subscript"/>
                <w:lang w:eastAsia="en-US"/>
              </w:rPr>
              <w:t>t-3</w:t>
            </w:r>
            <w:r w:rsidRPr="00A14EC5">
              <w:rPr>
                <w:rFonts w:eastAsia="Times New Roman"/>
                <w:sz w:val="22"/>
                <w:szCs w:val="22"/>
                <w:lang w:eastAsia="en-US"/>
              </w:rPr>
              <w:t xml:space="preserve"> (log)</w:t>
            </w:r>
          </w:p>
        </w:tc>
        <w:tc>
          <w:tcPr>
            <w:tcW w:w="0" w:type="auto"/>
          </w:tcPr>
          <w:p w14:paraId="7414DC9B" w14:textId="623E5963"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5F601FC4" w14:textId="0CF80315"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14.32</w:t>
            </w:r>
          </w:p>
        </w:tc>
        <w:tc>
          <w:tcPr>
            <w:tcW w:w="0" w:type="auto"/>
          </w:tcPr>
          <w:p w14:paraId="05AF8CFB" w14:textId="219B077C"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8.99</w:t>
            </w:r>
          </w:p>
        </w:tc>
        <w:tc>
          <w:tcPr>
            <w:tcW w:w="0" w:type="auto"/>
          </w:tcPr>
          <w:p w14:paraId="3AC02671" w14:textId="537AE521"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788F8BCC" w14:textId="2CB50EF6"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24.34</w:t>
            </w:r>
          </w:p>
        </w:tc>
      </w:tr>
      <w:tr w:rsidR="002C1E51" w:rsidRPr="002C1E51" w14:paraId="5961B00B" w14:textId="77777777" w:rsidTr="002C1E51">
        <w:tc>
          <w:tcPr>
            <w:tcW w:w="0" w:type="auto"/>
          </w:tcPr>
          <w:p w14:paraId="485F2239" w14:textId="41CACAF1" w:rsidR="002C1E51" w:rsidRPr="00A14EC5" w:rsidRDefault="002C1E51" w:rsidP="002C1E51">
            <w:pPr>
              <w:pStyle w:val="NoSpacing"/>
              <w:rPr>
                <w:rFonts w:eastAsia="Times New Roman"/>
                <w:sz w:val="22"/>
                <w:szCs w:val="22"/>
                <w:lang w:eastAsia="en-US"/>
              </w:rPr>
            </w:pPr>
            <w:r w:rsidRPr="00A14EC5">
              <w:rPr>
                <w:rFonts w:eastAsia="Times New Roman"/>
                <w:sz w:val="22"/>
                <w:szCs w:val="22"/>
                <w:lang w:eastAsia="en-US"/>
              </w:rPr>
              <w:t xml:space="preserve">IBRD and IDA </w:t>
            </w:r>
            <w:r w:rsidRPr="00A14EC5">
              <w:rPr>
                <w:rFonts w:eastAsia="Times New Roman"/>
                <w:sz w:val="22"/>
                <w:szCs w:val="22"/>
                <w:vertAlign w:val="subscript"/>
                <w:lang w:eastAsia="en-US"/>
              </w:rPr>
              <w:t>t-5</w:t>
            </w:r>
            <w:r w:rsidRPr="00A14EC5">
              <w:rPr>
                <w:rFonts w:eastAsia="Times New Roman"/>
                <w:sz w:val="22"/>
                <w:szCs w:val="22"/>
                <w:lang w:eastAsia="en-US"/>
              </w:rPr>
              <w:t xml:space="preserve"> (log)</w:t>
            </w:r>
          </w:p>
        </w:tc>
        <w:tc>
          <w:tcPr>
            <w:tcW w:w="0" w:type="auto"/>
          </w:tcPr>
          <w:p w14:paraId="04B0AFCA" w14:textId="217538C6"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09548C03" w14:textId="290FBE73"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14.04</w:t>
            </w:r>
          </w:p>
        </w:tc>
        <w:tc>
          <w:tcPr>
            <w:tcW w:w="0" w:type="auto"/>
          </w:tcPr>
          <w:p w14:paraId="0B8C0857" w14:textId="5C0A164C"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9.10</w:t>
            </w:r>
          </w:p>
        </w:tc>
        <w:tc>
          <w:tcPr>
            <w:tcW w:w="0" w:type="auto"/>
          </w:tcPr>
          <w:p w14:paraId="16289C64" w14:textId="0A063742"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2F04774E" w14:textId="2B8283B1" w:rsidR="002C1E51" w:rsidRPr="00A14EC5" w:rsidRDefault="002C1E51" w:rsidP="00FB3445">
            <w:pPr>
              <w:pStyle w:val="NoSpacing"/>
              <w:jc w:val="center"/>
              <w:rPr>
                <w:rFonts w:eastAsia="Times New Roman"/>
                <w:sz w:val="22"/>
                <w:szCs w:val="22"/>
                <w:lang w:eastAsia="en-US"/>
              </w:rPr>
            </w:pPr>
            <w:r w:rsidRPr="00A14EC5">
              <w:rPr>
                <w:rFonts w:eastAsia="Times New Roman"/>
                <w:sz w:val="22"/>
                <w:szCs w:val="22"/>
                <w:lang w:eastAsia="en-US"/>
              </w:rPr>
              <w:t>24.21</w:t>
            </w:r>
          </w:p>
        </w:tc>
      </w:tr>
      <w:tr w:rsidR="00D521B5" w:rsidRPr="002C1E51" w14:paraId="65502AAC" w14:textId="77777777" w:rsidTr="002C1E51">
        <w:tc>
          <w:tcPr>
            <w:tcW w:w="0" w:type="auto"/>
          </w:tcPr>
          <w:p w14:paraId="13AB857E" w14:textId="79A5DA57" w:rsidR="00D521B5" w:rsidRPr="00A14EC5" w:rsidRDefault="00D521B5" w:rsidP="002C1E51">
            <w:pPr>
              <w:pStyle w:val="NoSpacing"/>
              <w:rPr>
                <w:rFonts w:eastAsia="Times New Roman"/>
                <w:sz w:val="22"/>
                <w:szCs w:val="22"/>
                <w:lang w:eastAsia="en-US"/>
              </w:rPr>
            </w:pPr>
            <w:r w:rsidRPr="00A14EC5">
              <w:rPr>
                <w:rFonts w:eastAsia="Times New Roman"/>
                <w:sz w:val="22"/>
                <w:szCs w:val="22"/>
                <w:lang w:eastAsia="en-US"/>
              </w:rPr>
              <w:t xml:space="preserve">IRBD </w:t>
            </w:r>
            <w:r w:rsidRPr="00A14EC5">
              <w:rPr>
                <w:rFonts w:eastAsia="Times New Roman"/>
                <w:sz w:val="22"/>
                <w:szCs w:val="22"/>
                <w:vertAlign w:val="subscript"/>
                <w:lang w:eastAsia="en-US"/>
              </w:rPr>
              <w:t>t-3</w:t>
            </w:r>
            <w:r w:rsidRPr="00A14EC5">
              <w:rPr>
                <w:rFonts w:eastAsia="Times New Roman"/>
                <w:sz w:val="22"/>
                <w:szCs w:val="22"/>
                <w:lang w:eastAsia="en-US"/>
              </w:rPr>
              <w:t xml:space="preserve">   (log)</w:t>
            </w:r>
          </w:p>
        </w:tc>
        <w:tc>
          <w:tcPr>
            <w:tcW w:w="0" w:type="auto"/>
          </w:tcPr>
          <w:p w14:paraId="362CF10A" w14:textId="04B9A515"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7527E44C" w14:textId="3F5E4941"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8.28</w:t>
            </w:r>
          </w:p>
        </w:tc>
        <w:tc>
          <w:tcPr>
            <w:tcW w:w="0" w:type="auto"/>
          </w:tcPr>
          <w:p w14:paraId="166E2562" w14:textId="2B560972"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9.58</w:t>
            </w:r>
          </w:p>
        </w:tc>
        <w:tc>
          <w:tcPr>
            <w:tcW w:w="0" w:type="auto"/>
          </w:tcPr>
          <w:p w14:paraId="1A9CD820" w14:textId="3FE958C9"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0E1C0DF5" w14:textId="5D50A42F"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23.35</w:t>
            </w:r>
          </w:p>
        </w:tc>
      </w:tr>
      <w:tr w:rsidR="00D521B5" w:rsidRPr="002C1E51" w14:paraId="7AD6E41D" w14:textId="77777777" w:rsidTr="002C1E51">
        <w:tc>
          <w:tcPr>
            <w:tcW w:w="0" w:type="auto"/>
          </w:tcPr>
          <w:p w14:paraId="4F81EAF1" w14:textId="36C93314"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IDA </w:t>
            </w:r>
            <w:r w:rsidRPr="00A14EC5">
              <w:rPr>
                <w:rFonts w:eastAsia="Times New Roman"/>
                <w:sz w:val="22"/>
                <w:szCs w:val="22"/>
                <w:vertAlign w:val="subscript"/>
                <w:lang w:eastAsia="en-US"/>
              </w:rPr>
              <w:t xml:space="preserve">t-3  </w:t>
            </w:r>
            <w:r w:rsidRPr="00A14EC5">
              <w:rPr>
                <w:rFonts w:eastAsia="Times New Roman"/>
                <w:sz w:val="22"/>
                <w:szCs w:val="22"/>
                <w:lang w:eastAsia="en-US"/>
              </w:rPr>
              <w:t>(log)</w:t>
            </w:r>
          </w:p>
        </w:tc>
        <w:tc>
          <w:tcPr>
            <w:tcW w:w="0" w:type="auto"/>
          </w:tcPr>
          <w:p w14:paraId="461EECF4" w14:textId="60FEDB43"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2B751878" w14:textId="1F2D1D94"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11.27</w:t>
            </w:r>
          </w:p>
        </w:tc>
        <w:tc>
          <w:tcPr>
            <w:tcW w:w="0" w:type="auto"/>
          </w:tcPr>
          <w:p w14:paraId="4638868A" w14:textId="1EB5239F"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9.57</w:t>
            </w:r>
          </w:p>
        </w:tc>
        <w:tc>
          <w:tcPr>
            <w:tcW w:w="0" w:type="auto"/>
          </w:tcPr>
          <w:p w14:paraId="018E38E6" w14:textId="75FFED2F"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48297E16" w14:textId="79B79A1A"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23.98</w:t>
            </w:r>
          </w:p>
        </w:tc>
      </w:tr>
      <w:tr w:rsidR="00D521B5" w:rsidRPr="002C1E51" w14:paraId="23F0856F" w14:textId="77777777" w:rsidTr="002C1E51">
        <w:tc>
          <w:tcPr>
            <w:tcW w:w="0" w:type="auto"/>
          </w:tcPr>
          <w:p w14:paraId="20FA14D6" w14:textId="076D05B5"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IRBD </w:t>
            </w:r>
            <w:r w:rsidRPr="00A14EC5">
              <w:rPr>
                <w:rFonts w:eastAsia="Times New Roman"/>
                <w:sz w:val="22"/>
                <w:szCs w:val="22"/>
                <w:vertAlign w:val="subscript"/>
                <w:lang w:eastAsia="en-US"/>
              </w:rPr>
              <w:t>t-5</w:t>
            </w:r>
            <w:r w:rsidRPr="00A14EC5">
              <w:rPr>
                <w:rFonts w:eastAsia="Times New Roman"/>
                <w:sz w:val="22"/>
                <w:szCs w:val="22"/>
                <w:lang w:eastAsia="en-US"/>
              </w:rPr>
              <w:t xml:space="preserve">   (log)</w:t>
            </w:r>
          </w:p>
        </w:tc>
        <w:tc>
          <w:tcPr>
            <w:tcW w:w="0" w:type="auto"/>
          </w:tcPr>
          <w:p w14:paraId="34FE2997" w14:textId="427CBD93"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158E4326" w14:textId="20D47DE0"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8.30</w:t>
            </w:r>
          </w:p>
        </w:tc>
        <w:tc>
          <w:tcPr>
            <w:tcW w:w="0" w:type="auto"/>
          </w:tcPr>
          <w:p w14:paraId="0DB2D29D" w14:textId="26244FFF"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9.59</w:t>
            </w:r>
          </w:p>
        </w:tc>
        <w:tc>
          <w:tcPr>
            <w:tcW w:w="0" w:type="auto"/>
          </w:tcPr>
          <w:p w14:paraId="2046814B" w14:textId="763B1FED"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4BDACCD3" w14:textId="139FE164"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23.35</w:t>
            </w:r>
          </w:p>
        </w:tc>
      </w:tr>
      <w:tr w:rsidR="00D521B5" w:rsidRPr="002C1E51" w14:paraId="08307834" w14:textId="77777777" w:rsidTr="002C1E51">
        <w:tc>
          <w:tcPr>
            <w:tcW w:w="0" w:type="auto"/>
          </w:tcPr>
          <w:p w14:paraId="5D3BB170" w14:textId="6CF5AAF1"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IDA </w:t>
            </w:r>
            <w:r w:rsidRPr="00A14EC5">
              <w:rPr>
                <w:rFonts w:eastAsia="Times New Roman"/>
                <w:sz w:val="22"/>
                <w:szCs w:val="22"/>
                <w:vertAlign w:val="subscript"/>
                <w:lang w:eastAsia="en-US"/>
              </w:rPr>
              <w:t xml:space="preserve">t-5  </w:t>
            </w:r>
            <w:r w:rsidRPr="00A14EC5">
              <w:rPr>
                <w:rFonts w:eastAsia="Times New Roman"/>
                <w:sz w:val="22"/>
                <w:szCs w:val="22"/>
                <w:lang w:eastAsia="en-US"/>
              </w:rPr>
              <w:t>(log)</w:t>
            </w:r>
          </w:p>
        </w:tc>
        <w:tc>
          <w:tcPr>
            <w:tcW w:w="0" w:type="auto"/>
          </w:tcPr>
          <w:p w14:paraId="561305C7" w14:textId="46819841"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32D1994E" w14:textId="12EDBC51"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11.05</w:t>
            </w:r>
          </w:p>
        </w:tc>
        <w:tc>
          <w:tcPr>
            <w:tcW w:w="0" w:type="auto"/>
          </w:tcPr>
          <w:p w14:paraId="2DF32266" w14:textId="5A1DBD2E"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9.58</w:t>
            </w:r>
          </w:p>
        </w:tc>
        <w:tc>
          <w:tcPr>
            <w:tcW w:w="0" w:type="auto"/>
          </w:tcPr>
          <w:p w14:paraId="637B6D75" w14:textId="5544D10A"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c>
          <w:tcPr>
            <w:tcW w:w="0" w:type="auto"/>
          </w:tcPr>
          <w:p w14:paraId="11230982" w14:textId="77967C3C"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23.96</w:t>
            </w:r>
          </w:p>
        </w:tc>
      </w:tr>
      <w:tr w:rsidR="00D521B5" w:rsidRPr="002C1E51" w14:paraId="2D912873" w14:textId="77777777" w:rsidTr="002C1E51">
        <w:tc>
          <w:tcPr>
            <w:tcW w:w="0" w:type="auto"/>
          </w:tcPr>
          <w:p w14:paraId="46800A4E" w14:textId="018083B2"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IMF </w:t>
            </w:r>
            <w:r w:rsidRPr="00A14EC5">
              <w:rPr>
                <w:rFonts w:eastAsia="Times New Roman"/>
                <w:sz w:val="22"/>
                <w:szCs w:val="22"/>
                <w:vertAlign w:val="subscript"/>
                <w:lang w:eastAsia="en-US"/>
              </w:rPr>
              <w:t xml:space="preserve">t-3  </w:t>
            </w:r>
            <w:r w:rsidRPr="00A14EC5">
              <w:rPr>
                <w:rFonts w:eastAsia="Times New Roman"/>
                <w:sz w:val="22"/>
                <w:szCs w:val="22"/>
                <w:lang w:eastAsia="en-US"/>
              </w:rPr>
              <w:t xml:space="preserve"> (log)</w:t>
            </w:r>
          </w:p>
        </w:tc>
        <w:tc>
          <w:tcPr>
            <w:tcW w:w="0" w:type="auto"/>
          </w:tcPr>
          <w:p w14:paraId="39181AA4" w14:textId="5BA557E8"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6CC2EA48" w14:textId="455E1CE8"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-.966</w:t>
            </w:r>
          </w:p>
        </w:tc>
        <w:tc>
          <w:tcPr>
            <w:tcW w:w="0" w:type="auto"/>
          </w:tcPr>
          <w:p w14:paraId="0CA2AACB" w14:textId="41EF7BDB"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12.27</w:t>
            </w:r>
          </w:p>
        </w:tc>
        <w:tc>
          <w:tcPr>
            <w:tcW w:w="0" w:type="auto"/>
          </w:tcPr>
          <w:p w14:paraId="577EF11B" w14:textId="12C4ADBD"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-37.09</w:t>
            </w:r>
          </w:p>
        </w:tc>
        <w:tc>
          <w:tcPr>
            <w:tcW w:w="0" w:type="auto"/>
          </w:tcPr>
          <w:p w14:paraId="3BF47DF6" w14:textId="632911DD"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38.76</w:t>
            </w:r>
          </w:p>
        </w:tc>
      </w:tr>
      <w:tr w:rsidR="00D521B5" w:rsidRPr="002C1E51" w14:paraId="38047A4C" w14:textId="77777777" w:rsidTr="002C1E51">
        <w:tc>
          <w:tcPr>
            <w:tcW w:w="0" w:type="auto"/>
          </w:tcPr>
          <w:p w14:paraId="34C994B3" w14:textId="53BE09F5" w:rsidR="00D521B5" w:rsidRPr="00A14EC5" w:rsidRDefault="00D521B5" w:rsidP="005C62FD">
            <w:pPr>
              <w:pStyle w:val="NoSpacing"/>
              <w:rPr>
                <w:rFonts w:eastAsia="Times New Roman"/>
                <w:sz w:val="22"/>
                <w:szCs w:val="22"/>
                <w:lang w:eastAsia="en-US"/>
              </w:rPr>
            </w:pPr>
            <w:r w:rsidRPr="00A14EC5">
              <w:rPr>
                <w:rFonts w:eastAsia="Times New Roman"/>
                <w:sz w:val="22"/>
                <w:szCs w:val="22"/>
                <w:lang w:eastAsia="en-US"/>
              </w:rPr>
              <w:t xml:space="preserve">IMF </w:t>
            </w:r>
            <w:r w:rsidRPr="00A14EC5">
              <w:rPr>
                <w:rFonts w:eastAsia="Times New Roman"/>
                <w:sz w:val="22"/>
                <w:szCs w:val="22"/>
                <w:vertAlign w:val="subscript"/>
                <w:lang w:eastAsia="en-US"/>
              </w:rPr>
              <w:t xml:space="preserve">t-5  </w:t>
            </w:r>
            <w:r w:rsidRPr="00A14EC5">
              <w:rPr>
                <w:rFonts w:eastAsia="Times New Roman"/>
                <w:sz w:val="22"/>
                <w:szCs w:val="22"/>
                <w:lang w:eastAsia="en-US"/>
              </w:rPr>
              <w:t xml:space="preserve"> (log)</w:t>
            </w:r>
          </w:p>
        </w:tc>
        <w:tc>
          <w:tcPr>
            <w:tcW w:w="0" w:type="auto"/>
          </w:tcPr>
          <w:p w14:paraId="345A7776" w14:textId="712A452E"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0DA5BAF1" w14:textId="4687D3F0"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-1.51</w:t>
            </w:r>
          </w:p>
        </w:tc>
        <w:tc>
          <w:tcPr>
            <w:tcW w:w="0" w:type="auto"/>
          </w:tcPr>
          <w:p w14:paraId="2A01778F" w14:textId="1B6F5ADA"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12.29</w:t>
            </w:r>
          </w:p>
        </w:tc>
        <w:tc>
          <w:tcPr>
            <w:tcW w:w="0" w:type="auto"/>
          </w:tcPr>
          <w:p w14:paraId="155471C8" w14:textId="1169E5C1"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-37.39</w:t>
            </w:r>
          </w:p>
        </w:tc>
        <w:tc>
          <w:tcPr>
            <w:tcW w:w="0" w:type="auto"/>
          </w:tcPr>
          <w:p w14:paraId="639DCE69" w14:textId="399F4618"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38.76</w:t>
            </w:r>
          </w:p>
        </w:tc>
      </w:tr>
      <w:tr w:rsidR="00D521B5" w:rsidRPr="002C1E51" w14:paraId="2A51D164" w14:textId="77777777" w:rsidTr="002C1E51">
        <w:tc>
          <w:tcPr>
            <w:tcW w:w="0" w:type="auto"/>
          </w:tcPr>
          <w:p w14:paraId="1ED47B85" w14:textId="46D03C6A"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IMF Concessional </w:t>
            </w:r>
            <w:r w:rsidRPr="00A14EC5">
              <w:rPr>
                <w:rFonts w:eastAsia="Times New Roman"/>
                <w:sz w:val="22"/>
                <w:szCs w:val="22"/>
                <w:vertAlign w:val="subscript"/>
                <w:lang w:eastAsia="en-US"/>
              </w:rPr>
              <w:t xml:space="preserve">t-3  </w:t>
            </w:r>
            <w:r w:rsidRPr="00A14EC5">
              <w:rPr>
                <w:rFonts w:eastAsia="Times New Roman"/>
                <w:sz w:val="22"/>
                <w:szCs w:val="22"/>
                <w:lang w:eastAsia="en-US"/>
              </w:rPr>
              <w:t xml:space="preserve"> (log)</w:t>
            </w:r>
          </w:p>
        </w:tc>
        <w:tc>
          <w:tcPr>
            <w:tcW w:w="0" w:type="auto"/>
          </w:tcPr>
          <w:p w14:paraId="589362D9" w14:textId="4F5D489B"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29440E41" w14:textId="63DA67FD"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.461</w:t>
            </w:r>
          </w:p>
        </w:tc>
        <w:tc>
          <w:tcPr>
            <w:tcW w:w="0" w:type="auto"/>
          </w:tcPr>
          <w:p w14:paraId="32E38AE9" w14:textId="19FD0BF4"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8.85</w:t>
            </w:r>
          </w:p>
        </w:tc>
        <w:tc>
          <w:tcPr>
            <w:tcW w:w="0" w:type="auto"/>
          </w:tcPr>
          <w:p w14:paraId="5E54E86E" w14:textId="269FD9E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-21.27</w:t>
            </w:r>
          </w:p>
        </w:tc>
        <w:tc>
          <w:tcPr>
            <w:tcW w:w="0" w:type="auto"/>
          </w:tcPr>
          <w:p w14:paraId="7A65B15A" w14:textId="2E50D565"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20.95</w:t>
            </w:r>
          </w:p>
        </w:tc>
      </w:tr>
      <w:tr w:rsidR="00D521B5" w:rsidRPr="002C1E51" w14:paraId="262AE39C" w14:textId="77777777" w:rsidTr="002C1E51">
        <w:tc>
          <w:tcPr>
            <w:tcW w:w="0" w:type="auto"/>
          </w:tcPr>
          <w:p w14:paraId="1FDAC15F" w14:textId="18B84C3E"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IMF Non-Concessional </w:t>
            </w:r>
            <w:r w:rsidRPr="00A14EC5">
              <w:rPr>
                <w:rFonts w:eastAsia="Times New Roman"/>
                <w:sz w:val="22"/>
                <w:szCs w:val="22"/>
                <w:vertAlign w:val="subscript"/>
                <w:lang w:eastAsia="en-US"/>
              </w:rPr>
              <w:t xml:space="preserve">t-3  </w:t>
            </w:r>
            <w:r w:rsidRPr="00A14EC5">
              <w:rPr>
                <w:rFonts w:eastAsia="Times New Roman"/>
                <w:sz w:val="22"/>
                <w:szCs w:val="22"/>
                <w:lang w:eastAsia="en-US"/>
              </w:rPr>
              <w:t xml:space="preserve"> (log)</w:t>
            </w:r>
          </w:p>
        </w:tc>
        <w:tc>
          <w:tcPr>
            <w:tcW w:w="0" w:type="auto"/>
          </w:tcPr>
          <w:p w14:paraId="26391D66" w14:textId="48B7369A"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78299B42" w14:textId="4CD451E4"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-1.43</w:t>
            </w:r>
          </w:p>
        </w:tc>
        <w:tc>
          <w:tcPr>
            <w:tcW w:w="0" w:type="auto"/>
          </w:tcPr>
          <w:p w14:paraId="6F361E92" w14:textId="1BC0504E"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9.01</w:t>
            </w:r>
          </w:p>
        </w:tc>
        <w:tc>
          <w:tcPr>
            <w:tcW w:w="0" w:type="auto"/>
          </w:tcPr>
          <w:p w14:paraId="0A3FC0F3" w14:textId="5D76727D"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-23.89</w:t>
            </w:r>
          </w:p>
        </w:tc>
        <w:tc>
          <w:tcPr>
            <w:tcW w:w="0" w:type="auto"/>
          </w:tcPr>
          <w:p w14:paraId="4AD9F222" w14:textId="6E1752E3"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23.22</w:t>
            </w:r>
          </w:p>
        </w:tc>
      </w:tr>
      <w:tr w:rsidR="00D521B5" w:rsidRPr="002C1E51" w14:paraId="2DF73BD0" w14:textId="77777777" w:rsidTr="002C1E51">
        <w:tc>
          <w:tcPr>
            <w:tcW w:w="0" w:type="auto"/>
          </w:tcPr>
          <w:p w14:paraId="566AA8AB" w14:textId="6DA7E55D" w:rsidR="00D521B5" w:rsidRPr="00A14EC5" w:rsidRDefault="00D521B5" w:rsidP="005C62FD">
            <w:pPr>
              <w:pStyle w:val="NoSpacing"/>
              <w:rPr>
                <w:rFonts w:eastAsia="Times New Roman"/>
                <w:sz w:val="22"/>
                <w:szCs w:val="22"/>
                <w:lang w:eastAsia="en-US"/>
              </w:rPr>
            </w:pPr>
            <w:r w:rsidRPr="00A14EC5">
              <w:rPr>
                <w:rFonts w:eastAsia="Times New Roman"/>
                <w:sz w:val="22"/>
                <w:szCs w:val="22"/>
                <w:lang w:eastAsia="en-US"/>
              </w:rPr>
              <w:t xml:space="preserve">IMF Concessional </w:t>
            </w:r>
            <w:r w:rsidRPr="00A14EC5">
              <w:rPr>
                <w:rFonts w:eastAsia="Times New Roman"/>
                <w:sz w:val="22"/>
                <w:szCs w:val="22"/>
                <w:vertAlign w:val="subscript"/>
                <w:lang w:eastAsia="en-US"/>
              </w:rPr>
              <w:t xml:space="preserve">t-5  </w:t>
            </w:r>
            <w:r w:rsidRPr="00A14EC5">
              <w:rPr>
                <w:rFonts w:eastAsia="Times New Roman"/>
                <w:sz w:val="22"/>
                <w:szCs w:val="22"/>
                <w:lang w:eastAsia="en-US"/>
              </w:rPr>
              <w:t xml:space="preserve"> (log)</w:t>
            </w:r>
          </w:p>
        </w:tc>
        <w:tc>
          <w:tcPr>
            <w:tcW w:w="0" w:type="auto"/>
          </w:tcPr>
          <w:p w14:paraId="54D58F85" w14:textId="5974F4D9"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1FEFD4A2" w14:textId="085670C6"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.385</w:t>
            </w:r>
          </w:p>
        </w:tc>
        <w:tc>
          <w:tcPr>
            <w:tcW w:w="0" w:type="auto"/>
          </w:tcPr>
          <w:p w14:paraId="4EBD133B" w14:textId="3BD590CF"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8.60</w:t>
            </w:r>
          </w:p>
        </w:tc>
        <w:tc>
          <w:tcPr>
            <w:tcW w:w="0" w:type="auto"/>
          </w:tcPr>
          <w:p w14:paraId="4697AA1B" w14:textId="241318E0"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-21.27</w:t>
            </w:r>
          </w:p>
        </w:tc>
        <w:tc>
          <w:tcPr>
            <w:tcW w:w="0" w:type="auto"/>
          </w:tcPr>
          <w:p w14:paraId="4365A852" w14:textId="0FD3CE7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20.98</w:t>
            </w:r>
          </w:p>
        </w:tc>
      </w:tr>
      <w:tr w:rsidR="00D521B5" w:rsidRPr="002C1E51" w14:paraId="0EA96F22" w14:textId="77777777" w:rsidTr="002C1E51">
        <w:tc>
          <w:tcPr>
            <w:tcW w:w="0" w:type="auto"/>
          </w:tcPr>
          <w:p w14:paraId="00BE753B" w14:textId="5953F2EF" w:rsidR="00D521B5" w:rsidRPr="00A14EC5" w:rsidRDefault="00D521B5" w:rsidP="005C62FD">
            <w:pPr>
              <w:pStyle w:val="NoSpacing"/>
              <w:rPr>
                <w:rFonts w:eastAsia="Times New Roman"/>
                <w:sz w:val="22"/>
                <w:szCs w:val="22"/>
                <w:lang w:eastAsia="en-US"/>
              </w:rPr>
            </w:pPr>
            <w:r w:rsidRPr="00A14EC5">
              <w:rPr>
                <w:rFonts w:eastAsia="Times New Roman"/>
                <w:sz w:val="22"/>
                <w:szCs w:val="22"/>
                <w:lang w:eastAsia="en-US"/>
              </w:rPr>
              <w:t xml:space="preserve">IMF Non-Concessional </w:t>
            </w:r>
            <w:r w:rsidRPr="00A14EC5">
              <w:rPr>
                <w:rFonts w:eastAsia="Times New Roman"/>
                <w:sz w:val="22"/>
                <w:szCs w:val="22"/>
                <w:vertAlign w:val="subscript"/>
                <w:lang w:eastAsia="en-US"/>
              </w:rPr>
              <w:t xml:space="preserve">t-5  </w:t>
            </w:r>
            <w:r w:rsidRPr="00A14EC5">
              <w:rPr>
                <w:rFonts w:eastAsia="Times New Roman"/>
                <w:sz w:val="22"/>
                <w:szCs w:val="22"/>
                <w:lang w:eastAsia="en-US"/>
              </w:rPr>
              <w:t xml:space="preserve"> (log)</w:t>
            </w:r>
          </w:p>
        </w:tc>
        <w:tc>
          <w:tcPr>
            <w:tcW w:w="0" w:type="auto"/>
          </w:tcPr>
          <w:p w14:paraId="25A403AB" w14:textId="76E21074"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202D898C" w14:textId="77310058"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-1.90</w:t>
            </w:r>
          </w:p>
        </w:tc>
        <w:tc>
          <w:tcPr>
            <w:tcW w:w="0" w:type="auto"/>
          </w:tcPr>
          <w:p w14:paraId="0E027759" w14:textId="0B213230"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9.24</w:t>
            </w:r>
          </w:p>
        </w:tc>
        <w:tc>
          <w:tcPr>
            <w:tcW w:w="0" w:type="auto"/>
          </w:tcPr>
          <w:p w14:paraId="0FA94500" w14:textId="0BAE1FB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-23.89</w:t>
            </w:r>
          </w:p>
        </w:tc>
        <w:tc>
          <w:tcPr>
            <w:tcW w:w="0" w:type="auto"/>
          </w:tcPr>
          <w:p w14:paraId="6BC8BA8C" w14:textId="4BA3A82E"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23.22</w:t>
            </w:r>
          </w:p>
        </w:tc>
      </w:tr>
      <w:tr w:rsidR="00D521B5" w:rsidRPr="002C1E51" w14:paraId="44876F42" w14:textId="77777777" w:rsidTr="002C1E51">
        <w:tc>
          <w:tcPr>
            <w:tcW w:w="0" w:type="auto"/>
          </w:tcPr>
          <w:p w14:paraId="15191431" w14:textId="049BA813"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GDP per capita (log)</w:t>
            </w:r>
          </w:p>
        </w:tc>
        <w:tc>
          <w:tcPr>
            <w:tcW w:w="0" w:type="auto"/>
          </w:tcPr>
          <w:p w14:paraId="7E284F0C" w14:textId="599E3A5C"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2813</w:t>
            </w:r>
          </w:p>
        </w:tc>
        <w:tc>
          <w:tcPr>
            <w:tcW w:w="0" w:type="auto"/>
          </w:tcPr>
          <w:p w14:paraId="6B6D88DA" w14:textId="2DE71473"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7.67</w:t>
            </w:r>
          </w:p>
        </w:tc>
        <w:tc>
          <w:tcPr>
            <w:tcW w:w="0" w:type="auto"/>
          </w:tcPr>
          <w:p w14:paraId="6427F905" w14:textId="138F1EE0"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1.39</w:t>
            </w:r>
          </w:p>
        </w:tc>
        <w:tc>
          <w:tcPr>
            <w:tcW w:w="0" w:type="auto"/>
          </w:tcPr>
          <w:p w14:paraId="6C892F52" w14:textId="3202ACBB"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4.28</w:t>
            </w:r>
          </w:p>
        </w:tc>
        <w:tc>
          <w:tcPr>
            <w:tcW w:w="0" w:type="auto"/>
          </w:tcPr>
          <w:p w14:paraId="65E95C51" w14:textId="6077D276"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11.48</w:t>
            </w:r>
          </w:p>
        </w:tc>
      </w:tr>
      <w:tr w:rsidR="00D521B5" w:rsidRPr="002C1E51" w14:paraId="2BB43FB9" w14:textId="77777777" w:rsidTr="002C1E51">
        <w:tc>
          <w:tcPr>
            <w:tcW w:w="0" w:type="auto"/>
          </w:tcPr>
          <w:p w14:paraId="1AC41D08" w14:textId="628B8DEF"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Health Expenditures (log)</w:t>
            </w:r>
          </w:p>
        </w:tc>
        <w:tc>
          <w:tcPr>
            <w:tcW w:w="0" w:type="auto"/>
          </w:tcPr>
          <w:p w14:paraId="709A7E84" w14:textId="2631BDF4"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2802</w:t>
            </w:r>
          </w:p>
        </w:tc>
        <w:tc>
          <w:tcPr>
            <w:tcW w:w="0" w:type="auto"/>
          </w:tcPr>
          <w:p w14:paraId="71F47A26" w14:textId="15084996"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.956</w:t>
            </w:r>
          </w:p>
        </w:tc>
        <w:tc>
          <w:tcPr>
            <w:tcW w:w="0" w:type="auto"/>
          </w:tcPr>
          <w:p w14:paraId="4AFEE8BC" w14:textId="74A03D21"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.628</w:t>
            </w:r>
          </w:p>
        </w:tc>
        <w:tc>
          <w:tcPr>
            <w:tcW w:w="0" w:type="auto"/>
          </w:tcPr>
          <w:p w14:paraId="3033418D" w14:textId="2BA95D33"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-4.70</w:t>
            </w:r>
          </w:p>
        </w:tc>
        <w:tc>
          <w:tcPr>
            <w:tcW w:w="0" w:type="auto"/>
          </w:tcPr>
          <w:p w14:paraId="39667C1D" w14:textId="6FD1EC54"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2.99</w:t>
            </w:r>
          </w:p>
        </w:tc>
      </w:tr>
      <w:tr w:rsidR="00D521B5" w:rsidRPr="002C1E51" w14:paraId="661313E5" w14:textId="77777777" w:rsidTr="002C1E51">
        <w:tc>
          <w:tcPr>
            <w:tcW w:w="0" w:type="auto"/>
          </w:tcPr>
          <w:p w14:paraId="3CFD7838" w14:textId="1ED0EA09"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Military Expenditures (log)</w:t>
            </w:r>
          </w:p>
        </w:tc>
        <w:tc>
          <w:tcPr>
            <w:tcW w:w="0" w:type="auto"/>
          </w:tcPr>
          <w:p w14:paraId="62F9D847" w14:textId="5D510E02"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2191</w:t>
            </w:r>
          </w:p>
        </w:tc>
        <w:tc>
          <w:tcPr>
            <w:tcW w:w="0" w:type="auto"/>
          </w:tcPr>
          <w:p w14:paraId="25EB1720" w14:textId="79FBAFBE"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.596</w:t>
            </w:r>
          </w:p>
        </w:tc>
        <w:tc>
          <w:tcPr>
            <w:tcW w:w="0" w:type="auto"/>
          </w:tcPr>
          <w:p w14:paraId="46E2FFB7" w14:textId="42561F50"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.748</w:t>
            </w:r>
          </w:p>
        </w:tc>
        <w:tc>
          <w:tcPr>
            <w:tcW w:w="0" w:type="auto"/>
          </w:tcPr>
          <w:p w14:paraId="0D78E833" w14:textId="1B692A26"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-3.29</w:t>
            </w:r>
          </w:p>
        </w:tc>
        <w:tc>
          <w:tcPr>
            <w:tcW w:w="0" w:type="auto"/>
          </w:tcPr>
          <w:p w14:paraId="7270A266" w14:textId="63644F3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3.68</w:t>
            </w:r>
          </w:p>
        </w:tc>
      </w:tr>
      <w:tr w:rsidR="00D521B5" w:rsidRPr="002C1E51" w14:paraId="2EFF76E5" w14:textId="77777777" w:rsidTr="002C1E51">
        <w:tc>
          <w:tcPr>
            <w:tcW w:w="0" w:type="auto"/>
          </w:tcPr>
          <w:p w14:paraId="04EF2750" w14:textId="4FAF1770"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Polity IV </w:t>
            </w:r>
          </w:p>
        </w:tc>
        <w:tc>
          <w:tcPr>
            <w:tcW w:w="0" w:type="auto"/>
          </w:tcPr>
          <w:p w14:paraId="65C3E9D9" w14:textId="099350CD"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2500</w:t>
            </w:r>
          </w:p>
        </w:tc>
        <w:tc>
          <w:tcPr>
            <w:tcW w:w="0" w:type="auto"/>
          </w:tcPr>
          <w:p w14:paraId="27EF161B" w14:textId="47920B54"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2.32</w:t>
            </w:r>
          </w:p>
        </w:tc>
        <w:tc>
          <w:tcPr>
            <w:tcW w:w="0" w:type="auto"/>
          </w:tcPr>
          <w:p w14:paraId="1A2FCF58" w14:textId="7CFC1182"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6.42</w:t>
            </w:r>
          </w:p>
        </w:tc>
        <w:tc>
          <w:tcPr>
            <w:tcW w:w="0" w:type="auto"/>
          </w:tcPr>
          <w:p w14:paraId="37322C06" w14:textId="2C82A54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-10</w:t>
            </w:r>
          </w:p>
        </w:tc>
        <w:tc>
          <w:tcPr>
            <w:tcW w:w="0" w:type="auto"/>
          </w:tcPr>
          <w:p w14:paraId="1ACFBFD8" w14:textId="1A3F1499"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10</w:t>
            </w:r>
          </w:p>
        </w:tc>
      </w:tr>
      <w:tr w:rsidR="00D521B5" w:rsidRPr="002C1E51" w14:paraId="64930342" w14:textId="77777777" w:rsidTr="002C1E51">
        <w:tc>
          <w:tcPr>
            <w:tcW w:w="0" w:type="auto"/>
          </w:tcPr>
          <w:p w14:paraId="1980F63A" w14:textId="0DA40D10" w:rsidR="00D521B5" w:rsidRPr="00A14EC5" w:rsidRDefault="00D521B5" w:rsidP="001D6040">
            <w:pPr>
              <w:pStyle w:val="NoSpacing"/>
              <w:rPr>
                <w:rFonts w:eastAsia="Times New Roman"/>
                <w:sz w:val="22"/>
                <w:szCs w:val="22"/>
                <w:lang w:eastAsia="en-US"/>
              </w:rPr>
            </w:pPr>
            <w:r w:rsidRPr="00A14EC5">
              <w:rPr>
                <w:rFonts w:eastAsia="Times New Roman"/>
                <w:sz w:val="22"/>
                <w:szCs w:val="22"/>
                <w:lang w:eastAsia="en-US"/>
              </w:rPr>
              <w:t xml:space="preserve">Debt Forgiveness </w:t>
            </w:r>
            <w:r w:rsidRPr="00A14EC5">
              <w:rPr>
                <w:rFonts w:eastAsia="Times New Roman"/>
                <w:sz w:val="22"/>
                <w:szCs w:val="22"/>
                <w:vertAlign w:val="subscript"/>
                <w:lang w:eastAsia="en-US"/>
              </w:rPr>
              <w:t xml:space="preserve">t-3  </w:t>
            </w:r>
            <w:r w:rsidRPr="00A14EC5">
              <w:rPr>
                <w:rFonts w:eastAsia="Times New Roman"/>
                <w:sz w:val="22"/>
                <w:szCs w:val="22"/>
                <w:lang w:eastAsia="en-US"/>
              </w:rPr>
              <w:t xml:space="preserve"> (log)</w:t>
            </w:r>
          </w:p>
        </w:tc>
        <w:tc>
          <w:tcPr>
            <w:tcW w:w="0" w:type="auto"/>
          </w:tcPr>
          <w:p w14:paraId="0372CA0B" w14:textId="738F756D"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2934</w:t>
            </w:r>
          </w:p>
        </w:tc>
        <w:tc>
          <w:tcPr>
            <w:tcW w:w="0" w:type="auto"/>
          </w:tcPr>
          <w:p w14:paraId="65BDB999" w14:textId="48C9605E"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-4.60</w:t>
            </w:r>
          </w:p>
        </w:tc>
        <w:tc>
          <w:tcPr>
            <w:tcW w:w="0" w:type="auto"/>
          </w:tcPr>
          <w:p w14:paraId="3A8605DD" w14:textId="6D389312"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7.58</w:t>
            </w:r>
          </w:p>
        </w:tc>
        <w:tc>
          <w:tcPr>
            <w:tcW w:w="0" w:type="auto"/>
          </w:tcPr>
          <w:p w14:paraId="429BBC9C" w14:textId="2B0AAA52"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-23.11</w:t>
            </w:r>
          </w:p>
        </w:tc>
        <w:tc>
          <w:tcPr>
            <w:tcW w:w="0" w:type="auto"/>
          </w:tcPr>
          <w:p w14:paraId="6B9F97E4" w14:textId="2EB64A88"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r>
      <w:tr w:rsidR="00D521B5" w:rsidRPr="002C1E51" w14:paraId="79672387" w14:textId="77777777" w:rsidTr="002C1E51">
        <w:tc>
          <w:tcPr>
            <w:tcW w:w="0" w:type="auto"/>
          </w:tcPr>
          <w:p w14:paraId="301C30A7" w14:textId="463D35C4" w:rsidR="00D521B5" w:rsidRPr="00A14EC5" w:rsidRDefault="00D521B5" w:rsidP="006F0469">
            <w:pPr>
              <w:pStyle w:val="NoSpacing"/>
              <w:rPr>
                <w:rFonts w:eastAsia="Times New Roman"/>
                <w:sz w:val="22"/>
                <w:szCs w:val="22"/>
                <w:lang w:eastAsia="en-US"/>
              </w:rPr>
            </w:pPr>
            <w:r w:rsidRPr="00A14EC5">
              <w:rPr>
                <w:rFonts w:eastAsia="Times New Roman"/>
                <w:sz w:val="22"/>
                <w:szCs w:val="22"/>
                <w:lang w:eastAsia="en-US"/>
              </w:rPr>
              <w:t xml:space="preserve">Debt Forgiveness </w:t>
            </w:r>
            <w:r w:rsidRPr="00A14EC5">
              <w:rPr>
                <w:rFonts w:eastAsia="Times New Roman"/>
                <w:sz w:val="22"/>
                <w:szCs w:val="22"/>
                <w:vertAlign w:val="subscript"/>
                <w:lang w:eastAsia="en-US"/>
              </w:rPr>
              <w:t xml:space="preserve">t-5  </w:t>
            </w:r>
            <w:r w:rsidRPr="00A14EC5">
              <w:rPr>
                <w:rFonts w:eastAsia="Times New Roman"/>
                <w:sz w:val="22"/>
                <w:szCs w:val="22"/>
                <w:lang w:eastAsia="en-US"/>
              </w:rPr>
              <w:t>(log)</w:t>
            </w:r>
          </w:p>
        </w:tc>
        <w:tc>
          <w:tcPr>
            <w:tcW w:w="0" w:type="auto"/>
          </w:tcPr>
          <w:p w14:paraId="44834A96" w14:textId="6198D633"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2933</w:t>
            </w:r>
          </w:p>
        </w:tc>
        <w:tc>
          <w:tcPr>
            <w:tcW w:w="0" w:type="auto"/>
          </w:tcPr>
          <w:p w14:paraId="7BD1471D" w14:textId="7082E198" w:rsidR="00D521B5" w:rsidRPr="00A14EC5" w:rsidRDefault="00D521B5" w:rsidP="00FB3445">
            <w:pPr>
              <w:pStyle w:val="NoSpacing"/>
              <w:jc w:val="center"/>
              <w:rPr>
                <w:rFonts w:eastAsia="Times New Roman"/>
                <w:sz w:val="22"/>
                <w:szCs w:val="22"/>
                <w:lang w:eastAsia="en-US"/>
              </w:rPr>
            </w:pPr>
            <w:r w:rsidRPr="00A14EC5">
              <w:rPr>
                <w:rFonts w:eastAsia="Times New Roman"/>
                <w:sz w:val="22"/>
                <w:szCs w:val="22"/>
                <w:lang w:eastAsia="en-US"/>
              </w:rPr>
              <w:t>-4.71</w:t>
            </w:r>
          </w:p>
        </w:tc>
        <w:tc>
          <w:tcPr>
            <w:tcW w:w="0" w:type="auto"/>
          </w:tcPr>
          <w:p w14:paraId="26A20F95" w14:textId="2E6F1AA4" w:rsidR="00D521B5" w:rsidRPr="00A14EC5" w:rsidRDefault="00D056DA" w:rsidP="00FB3445">
            <w:pPr>
              <w:pStyle w:val="NoSpacing"/>
              <w:jc w:val="center"/>
              <w:rPr>
                <w:rFonts w:eastAsia="Times New Roman"/>
                <w:sz w:val="22"/>
                <w:szCs w:val="22"/>
                <w:lang w:eastAsia="en-US"/>
              </w:rPr>
            </w:pPr>
            <w:r w:rsidRPr="00A14EC5">
              <w:rPr>
                <w:rFonts w:eastAsia="Times New Roman"/>
                <w:sz w:val="22"/>
                <w:szCs w:val="22"/>
                <w:lang w:eastAsia="en-US"/>
              </w:rPr>
              <w:t>7.65</w:t>
            </w:r>
          </w:p>
        </w:tc>
        <w:tc>
          <w:tcPr>
            <w:tcW w:w="0" w:type="auto"/>
          </w:tcPr>
          <w:p w14:paraId="323C9E46" w14:textId="5334E15B"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-23.11</w:t>
            </w:r>
          </w:p>
        </w:tc>
        <w:tc>
          <w:tcPr>
            <w:tcW w:w="0" w:type="auto"/>
          </w:tcPr>
          <w:p w14:paraId="5A90A06C" w14:textId="22562185" w:rsidR="00D521B5" w:rsidRPr="00A14EC5" w:rsidRDefault="005C6722" w:rsidP="00FB3445">
            <w:pPr>
              <w:pStyle w:val="NoSpacing"/>
              <w:jc w:val="center"/>
              <w:rPr>
                <w:rFonts w:eastAsia="Times New Roman"/>
                <w:sz w:val="22"/>
                <w:szCs w:val="22"/>
                <w:lang w:eastAsia="en-US"/>
              </w:rPr>
            </w:pPr>
            <w:r w:rsidRPr="00A14EC5">
              <w:rPr>
                <w:rFonts w:eastAsia="Times New Roman"/>
                <w:sz w:val="22"/>
                <w:szCs w:val="22"/>
                <w:lang w:eastAsia="en-US"/>
              </w:rPr>
              <w:t>0</w:t>
            </w:r>
          </w:p>
        </w:tc>
      </w:tr>
    </w:tbl>
    <w:p w14:paraId="713C71CC" w14:textId="77777777" w:rsidR="002C1E51" w:rsidRDefault="002C1E51" w:rsidP="001D6040">
      <w:pPr>
        <w:pStyle w:val="NoSpacing"/>
        <w:rPr>
          <w:rFonts w:eastAsia="Times New Roman"/>
          <w:lang w:eastAsia="en-US"/>
        </w:rPr>
      </w:pPr>
    </w:p>
    <w:p w14:paraId="1096E232" w14:textId="77777777" w:rsidR="002C1E51" w:rsidRDefault="002C1E51" w:rsidP="001D6040">
      <w:pPr>
        <w:pStyle w:val="NoSpacing"/>
        <w:rPr>
          <w:rFonts w:eastAsia="Times New Roman"/>
          <w:lang w:eastAsia="en-US"/>
        </w:rPr>
      </w:pPr>
    </w:p>
    <w:p w14:paraId="07705888" w14:textId="77777777" w:rsidR="002C1E51" w:rsidRDefault="002C1E51" w:rsidP="001D6040">
      <w:pPr>
        <w:pStyle w:val="NoSpacing"/>
        <w:rPr>
          <w:rFonts w:eastAsia="Times New Roman"/>
          <w:lang w:eastAsia="en-US"/>
        </w:rPr>
      </w:pPr>
    </w:p>
    <w:p w14:paraId="7C010E01" w14:textId="77777777" w:rsidR="002C1E51" w:rsidRDefault="002C1E51" w:rsidP="001D6040">
      <w:pPr>
        <w:pStyle w:val="NoSpacing"/>
        <w:rPr>
          <w:rFonts w:eastAsia="Times New Roman"/>
          <w:lang w:eastAsia="en-US"/>
        </w:rPr>
      </w:pPr>
    </w:p>
    <w:p w14:paraId="4F8329D5" w14:textId="77777777" w:rsidR="002C1E51" w:rsidRDefault="002C1E51" w:rsidP="001D6040">
      <w:pPr>
        <w:pStyle w:val="NoSpacing"/>
        <w:rPr>
          <w:rFonts w:eastAsia="Times New Roman"/>
          <w:lang w:eastAsia="en-US"/>
        </w:rPr>
      </w:pPr>
    </w:p>
    <w:p w14:paraId="75E8B8C0" w14:textId="77777777" w:rsidR="002C1E51" w:rsidRDefault="002C1E51" w:rsidP="001D6040">
      <w:pPr>
        <w:pStyle w:val="NoSpacing"/>
        <w:rPr>
          <w:rFonts w:eastAsia="Times New Roman"/>
          <w:lang w:eastAsia="en-US"/>
        </w:rPr>
      </w:pPr>
    </w:p>
    <w:p w14:paraId="7C049EEC" w14:textId="77777777" w:rsidR="002C1E51" w:rsidRDefault="002C1E51" w:rsidP="001D6040">
      <w:pPr>
        <w:pStyle w:val="NoSpacing"/>
        <w:rPr>
          <w:rFonts w:eastAsia="Times New Roman"/>
          <w:lang w:eastAsia="en-US"/>
        </w:rPr>
      </w:pPr>
    </w:p>
    <w:p w14:paraId="5851C9A1" w14:textId="77777777" w:rsidR="002C1E51" w:rsidRDefault="002C1E51" w:rsidP="001D6040">
      <w:pPr>
        <w:pStyle w:val="NoSpacing"/>
        <w:rPr>
          <w:rFonts w:eastAsia="Times New Roman"/>
          <w:lang w:eastAsia="en-US"/>
        </w:rPr>
      </w:pPr>
    </w:p>
    <w:p w14:paraId="54B1161B" w14:textId="77777777" w:rsidR="002C1E51" w:rsidRDefault="002C1E51" w:rsidP="001D6040">
      <w:pPr>
        <w:pStyle w:val="NoSpacing"/>
        <w:rPr>
          <w:rFonts w:eastAsia="Times New Roman"/>
          <w:lang w:eastAsia="en-US"/>
        </w:rPr>
      </w:pPr>
    </w:p>
    <w:p w14:paraId="44EBDBFB" w14:textId="77777777" w:rsidR="002C1E51" w:rsidRDefault="002C1E51" w:rsidP="001D6040">
      <w:pPr>
        <w:pStyle w:val="NoSpacing"/>
        <w:rPr>
          <w:rFonts w:eastAsia="Times New Roman"/>
          <w:lang w:eastAsia="en-US"/>
        </w:rPr>
      </w:pPr>
    </w:p>
    <w:p w14:paraId="276306A0" w14:textId="77777777" w:rsidR="002C1E51" w:rsidRDefault="002C1E51" w:rsidP="001D6040">
      <w:pPr>
        <w:pStyle w:val="NoSpacing"/>
        <w:rPr>
          <w:rFonts w:eastAsia="Times New Roman"/>
          <w:lang w:eastAsia="en-US"/>
        </w:rPr>
      </w:pPr>
    </w:p>
    <w:p w14:paraId="1D01E4D2" w14:textId="77777777" w:rsidR="002C1E51" w:rsidRDefault="002C1E51" w:rsidP="001D6040">
      <w:pPr>
        <w:pStyle w:val="NoSpacing"/>
        <w:rPr>
          <w:rFonts w:eastAsia="Times New Roman"/>
          <w:lang w:eastAsia="en-US"/>
        </w:rPr>
      </w:pPr>
    </w:p>
    <w:p w14:paraId="6CB404B5" w14:textId="77777777" w:rsidR="002C1E51" w:rsidRDefault="002C1E51" w:rsidP="001D6040">
      <w:pPr>
        <w:pStyle w:val="NoSpacing"/>
        <w:rPr>
          <w:rFonts w:eastAsia="Times New Roman"/>
          <w:lang w:eastAsia="en-US"/>
        </w:rPr>
      </w:pPr>
    </w:p>
    <w:p w14:paraId="51258B57" w14:textId="77777777" w:rsidR="002C1E51" w:rsidRDefault="002C1E51" w:rsidP="001D6040">
      <w:pPr>
        <w:pStyle w:val="NoSpacing"/>
        <w:rPr>
          <w:rFonts w:eastAsia="Times New Roman"/>
          <w:lang w:eastAsia="en-US"/>
        </w:rPr>
      </w:pPr>
    </w:p>
    <w:p w14:paraId="285F5E8D" w14:textId="77777777" w:rsidR="002C1E51" w:rsidRDefault="002C1E51" w:rsidP="001D6040">
      <w:pPr>
        <w:pStyle w:val="NoSpacing"/>
        <w:rPr>
          <w:rFonts w:eastAsia="Times New Roman"/>
          <w:lang w:eastAsia="en-US"/>
        </w:rPr>
      </w:pPr>
    </w:p>
    <w:p w14:paraId="6DBB07CF" w14:textId="77777777" w:rsidR="002C1E51" w:rsidRDefault="002C1E51" w:rsidP="001D6040">
      <w:pPr>
        <w:pStyle w:val="NoSpacing"/>
        <w:rPr>
          <w:rFonts w:eastAsia="Times New Roman"/>
          <w:lang w:eastAsia="en-US"/>
        </w:rPr>
      </w:pPr>
    </w:p>
    <w:p w14:paraId="3B278011" w14:textId="77777777" w:rsidR="002C1E51" w:rsidRDefault="002C1E51" w:rsidP="001D6040">
      <w:pPr>
        <w:pStyle w:val="NoSpacing"/>
        <w:rPr>
          <w:rFonts w:eastAsia="Times New Roman"/>
          <w:lang w:eastAsia="en-US"/>
        </w:rPr>
      </w:pPr>
    </w:p>
    <w:p w14:paraId="7568ED5B" w14:textId="77777777" w:rsidR="002C1E51" w:rsidRDefault="002C1E51" w:rsidP="001D6040">
      <w:pPr>
        <w:pStyle w:val="NoSpacing"/>
        <w:rPr>
          <w:rFonts w:eastAsia="Times New Roman"/>
          <w:lang w:eastAsia="en-US"/>
        </w:rPr>
      </w:pPr>
    </w:p>
    <w:p w14:paraId="5566AC73" w14:textId="77777777" w:rsidR="002C1E51" w:rsidRDefault="002C1E51" w:rsidP="001D6040">
      <w:pPr>
        <w:pStyle w:val="NoSpacing"/>
        <w:rPr>
          <w:rFonts w:eastAsia="Times New Roman"/>
          <w:lang w:eastAsia="en-US"/>
        </w:rPr>
      </w:pPr>
    </w:p>
    <w:p w14:paraId="5EF2A34C" w14:textId="77777777" w:rsidR="002C1E51" w:rsidRDefault="002C1E51" w:rsidP="001D6040">
      <w:pPr>
        <w:pStyle w:val="NoSpacing"/>
        <w:rPr>
          <w:rFonts w:eastAsia="Times New Roman"/>
          <w:lang w:eastAsia="en-US"/>
        </w:rPr>
      </w:pPr>
    </w:p>
    <w:p w14:paraId="1D6F8D8D" w14:textId="77777777" w:rsidR="002C1E51" w:rsidRDefault="002C1E51" w:rsidP="001D6040">
      <w:pPr>
        <w:pStyle w:val="NoSpacing"/>
        <w:rPr>
          <w:rFonts w:eastAsia="Times New Roman"/>
          <w:lang w:eastAsia="en-US"/>
        </w:rPr>
      </w:pPr>
    </w:p>
    <w:p w14:paraId="54E31663" w14:textId="77777777" w:rsidR="00513E78" w:rsidRDefault="00513E78" w:rsidP="007059CA"/>
    <w:p w14:paraId="5A9A8A05" w14:textId="77777777" w:rsidR="002473DB" w:rsidRDefault="002473DB" w:rsidP="007059CA"/>
    <w:p w14:paraId="5F583BD7" w14:textId="77777777" w:rsidR="00667161" w:rsidRDefault="00667161" w:rsidP="007059CA"/>
    <w:p w14:paraId="3324916D" w14:textId="77777777" w:rsidR="001D7F0C" w:rsidRPr="00255220" w:rsidRDefault="001D7F0C" w:rsidP="007059CA"/>
    <w:sectPr w:rsidR="001D7F0C" w:rsidRPr="00255220" w:rsidSect="00365E79">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5AE10" w14:textId="77777777" w:rsidR="00D32429" w:rsidRDefault="00D32429" w:rsidP="00527480">
      <w:r>
        <w:separator/>
      </w:r>
    </w:p>
  </w:endnote>
  <w:endnote w:type="continuationSeparator" w:id="0">
    <w:p w14:paraId="1E99D59C" w14:textId="77777777" w:rsidR="00D32429" w:rsidRDefault="00D32429" w:rsidP="00527480">
      <w:r>
        <w:continuationSeparator/>
      </w:r>
    </w:p>
  </w:endnote>
  <w:endnote w:id="1">
    <w:p w14:paraId="77AEDD94" w14:textId="0A777996" w:rsidR="00D32429" w:rsidRDefault="00D32429" w:rsidP="002473DB">
      <w:pPr>
        <w:pStyle w:val="NoSpacing"/>
        <w:spacing w:line="360" w:lineRule="auto"/>
        <w:rPr>
          <w:sz w:val="22"/>
          <w:szCs w:val="22"/>
        </w:rPr>
      </w:pPr>
      <w:r>
        <w:rPr>
          <w:sz w:val="22"/>
          <w:szCs w:val="22"/>
        </w:rPr>
        <w:t>Notes</w:t>
      </w:r>
    </w:p>
    <w:p w14:paraId="11DED04C" w14:textId="77777777" w:rsidR="00D32429" w:rsidRPr="00667161" w:rsidRDefault="00D32429" w:rsidP="002473DB">
      <w:pPr>
        <w:pStyle w:val="NoSpacing"/>
        <w:spacing w:line="360" w:lineRule="auto"/>
        <w:rPr>
          <w:sz w:val="22"/>
          <w:szCs w:val="22"/>
        </w:rPr>
      </w:pPr>
      <w:r w:rsidRPr="00667161">
        <w:rPr>
          <w:rStyle w:val="EndnoteReference"/>
          <w:sz w:val="22"/>
          <w:szCs w:val="22"/>
        </w:rPr>
        <w:endnoteRef/>
      </w:r>
      <w:r w:rsidRPr="00667161">
        <w:rPr>
          <w:sz w:val="22"/>
          <w:szCs w:val="22"/>
        </w:rPr>
        <w:t xml:space="preserve"> Article IV, Section 10: Political Activity Prohibited.</w:t>
      </w:r>
    </w:p>
    <w:p w14:paraId="2BE99E18" w14:textId="77777777" w:rsidR="00D32429" w:rsidRPr="00667161" w:rsidRDefault="00D32429" w:rsidP="002473DB">
      <w:pPr>
        <w:pStyle w:val="NoSpacing"/>
        <w:spacing w:line="360" w:lineRule="auto"/>
        <w:ind w:left="720"/>
        <w:rPr>
          <w:rFonts w:eastAsia="Times New Roman"/>
          <w:sz w:val="22"/>
          <w:szCs w:val="22"/>
          <w:shd w:val="clear" w:color="auto" w:fill="FFFFFF"/>
          <w:lang w:eastAsia="en-US"/>
        </w:rPr>
      </w:pPr>
      <w:r w:rsidRPr="00667161">
        <w:rPr>
          <w:sz w:val="22"/>
          <w:szCs w:val="22"/>
        </w:rPr>
        <w:t>The Bank and its officers shall not interfere in the political affairs of any member; nor shall they be influenced in their decisions by the political character of the member or members concerned. Only</w:t>
      </w:r>
      <w:r w:rsidRPr="00667161">
        <w:rPr>
          <w:rFonts w:eastAsia="Times New Roman"/>
          <w:sz w:val="22"/>
          <w:szCs w:val="22"/>
          <w:shd w:val="clear" w:color="auto" w:fill="FFFFFF"/>
          <w:lang w:eastAsia="en-US"/>
        </w:rPr>
        <w:t xml:space="preserve"> economic considerations shall be relevant to their decisions, and these considerations shall be weighed impartially in order to achieve the purposes stated in Article I. </w:t>
      </w:r>
    </w:p>
    <w:p w14:paraId="370C5845" w14:textId="65693B5F" w:rsidR="00D32429" w:rsidRPr="00667161" w:rsidRDefault="00D32429" w:rsidP="002473DB">
      <w:pPr>
        <w:pStyle w:val="NoSpacing"/>
        <w:spacing w:line="360" w:lineRule="auto"/>
        <w:rPr>
          <w:sz w:val="22"/>
          <w:szCs w:val="22"/>
        </w:rPr>
      </w:pPr>
      <w:r w:rsidRPr="00667161">
        <w:rPr>
          <w:color w:val="101010"/>
          <w:sz w:val="22"/>
          <w:szCs w:val="22"/>
        </w:rPr>
        <w:t xml:space="preserve">See: Articles of Agreement </w:t>
      </w:r>
      <w:r w:rsidRPr="00667161">
        <w:rPr>
          <w:color w:val="212121"/>
          <w:sz w:val="22"/>
          <w:szCs w:val="22"/>
        </w:rPr>
        <w:t xml:space="preserve">of </w:t>
      </w:r>
      <w:r w:rsidRPr="00667161">
        <w:rPr>
          <w:color w:val="101010"/>
          <w:sz w:val="22"/>
          <w:szCs w:val="22"/>
        </w:rPr>
        <w:t xml:space="preserve">the International Bank for Reconstruction and Development, Dec. 27, 1945, 60 Stat. 1440, T.LA.S. No. 1502, 2 D.N.T.S. 134, </w:t>
      </w:r>
      <w:r w:rsidRPr="00667161">
        <w:rPr>
          <w:color w:val="212121"/>
          <w:sz w:val="22"/>
          <w:szCs w:val="22"/>
        </w:rPr>
        <w:t xml:space="preserve">amended, </w:t>
      </w:r>
      <w:r w:rsidRPr="00667161">
        <w:rPr>
          <w:color w:val="101010"/>
          <w:sz w:val="22"/>
          <w:szCs w:val="22"/>
        </w:rPr>
        <w:t xml:space="preserve">Dec. 17, 1965, 16 D.S.T. 1942; Articles of Agreement of the International Development Association, Jan. 26, 1960, 11 D.S.T. 2284, T.LA.S. </w:t>
      </w:r>
      <w:r w:rsidRPr="00667161">
        <w:rPr>
          <w:color w:val="212121"/>
          <w:sz w:val="22"/>
          <w:szCs w:val="22"/>
        </w:rPr>
        <w:t xml:space="preserve">No. </w:t>
      </w:r>
      <w:r w:rsidRPr="00667161">
        <w:rPr>
          <w:color w:val="101010"/>
          <w:sz w:val="22"/>
          <w:szCs w:val="22"/>
        </w:rPr>
        <w:t xml:space="preserve">4607,439 </w:t>
      </w:r>
      <w:r w:rsidRPr="00667161">
        <w:rPr>
          <w:color w:val="212121"/>
          <w:sz w:val="22"/>
          <w:szCs w:val="22"/>
        </w:rPr>
        <w:t xml:space="preserve">D.N.T.S. </w:t>
      </w:r>
      <w:r w:rsidRPr="00667161">
        <w:rPr>
          <w:color w:val="101010"/>
          <w:sz w:val="22"/>
          <w:szCs w:val="22"/>
        </w:rPr>
        <w:t xml:space="preserve">249 </w:t>
      </w:r>
    </w:p>
  </w:endnote>
  <w:endnote w:id="2">
    <w:p w14:paraId="06CBB946" w14:textId="2941DAF8" w:rsidR="00D32429" w:rsidRPr="00667161" w:rsidRDefault="00D32429" w:rsidP="002473DB">
      <w:pPr>
        <w:pStyle w:val="NoSpacing"/>
        <w:spacing w:line="360" w:lineRule="auto"/>
        <w:rPr>
          <w:rFonts w:eastAsia="Times New Roman"/>
          <w:sz w:val="22"/>
          <w:szCs w:val="22"/>
        </w:rPr>
      </w:pPr>
      <w:r w:rsidRPr="00667161">
        <w:rPr>
          <w:rStyle w:val="EndnoteReference"/>
          <w:sz w:val="22"/>
          <w:szCs w:val="22"/>
        </w:rPr>
        <w:endnoteRef/>
      </w:r>
      <w:r w:rsidRPr="00667161">
        <w:rPr>
          <w:sz w:val="22"/>
          <w:szCs w:val="22"/>
        </w:rPr>
        <w:t xml:space="preserve"> Specialized agencies are required to adhere to the provisions of the UN Charter. The UN Charter (Article 57),</w:t>
      </w:r>
      <w:r w:rsidRPr="00667161">
        <w:rPr>
          <w:rFonts w:eastAsia="Times New Roman"/>
          <w:sz w:val="22"/>
          <w:szCs w:val="22"/>
          <w:shd w:val="clear" w:color="auto" w:fill="FFFFFF"/>
        </w:rPr>
        <w:t xml:space="preserve"> in accordance with the provisions of Article 63,</w:t>
      </w:r>
      <w:r w:rsidRPr="00667161">
        <w:rPr>
          <w:rFonts w:eastAsia="Times New Roman"/>
          <w:sz w:val="22"/>
          <w:szCs w:val="22"/>
        </w:rPr>
        <w:t xml:space="preserve"> </w:t>
      </w:r>
      <w:r w:rsidRPr="00667161">
        <w:rPr>
          <w:sz w:val="22"/>
          <w:szCs w:val="22"/>
        </w:rPr>
        <w:t xml:space="preserve">established a collaborative relationship with the UN’s specialized agencies with a view to creating international economic and social cooperation. </w:t>
      </w:r>
    </w:p>
  </w:endnote>
  <w:endnote w:id="3">
    <w:p w14:paraId="19BDA648" w14:textId="7EAF1BB1" w:rsidR="00D32429" w:rsidRPr="00667161" w:rsidRDefault="00D32429" w:rsidP="002473DB">
      <w:pPr>
        <w:pStyle w:val="EndnoteText"/>
        <w:spacing w:line="360" w:lineRule="auto"/>
        <w:rPr>
          <w:sz w:val="22"/>
          <w:szCs w:val="22"/>
        </w:rPr>
      </w:pPr>
      <w:r w:rsidRPr="00667161">
        <w:rPr>
          <w:rStyle w:val="EndnoteReference"/>
          <w:sz w:val="22"/>
          <w:szCs w:val="22"/>
        </w:rPr>
        <w:endnoteRef/>
      </w:r>
      <w:r w:rsidRPr="00667161">
        <w:rPr>
          <w:sz w:val="22"/>
          <w:szCs w:val="22"/>
        </w:rPr>
        <w:t xml:space="preserve"> SAPs were replaced by the PRSPs in 2000.</w:t>
      </w:r>
    </w:p>
  </w:endnote>
  <w:endnote w:id="4">
    <w:p w14:paraId="3FD0F27B" w14:textId="0706189A" w:rsidR="00D32429" w:rsidRPr="00060922" w:rsidRDefault="00D32429" w:rsidP="00060922">
      <w:pPr>
        <w:pStyle w:val="NoSpacing"/>
        <w:spacing w:line="360" w:lineRule="auto"/>
        <w:rPr>
          <w:sz w:val="22"/>
          <w:szCs w:val="22"/>
        </w:rPr>
      </w:pPr>
      <w:r w:rsidRPr="00060922">
        <w:rPr>
          <w:rStyle w:val="EndnoteReference"/>
          <w:sz w:val="22"/>
          <w:szCs w:val="22"/>
        </w:rPr>
        <w:endnoteRef/>
      </w:r>
      <w:r w:rsidRPr="00060922">
        <w:rPr>
          <w:sz w:val="22"/>
          <w:szCs w:val="22"/>
        </w:rPr>
        <w:t>The Bank also includes an agency that provides loans to private institutions, the International Finance Corporation (IFC), an agency that provides insurance and credit guarantees for private investors, the Multilateral Investment Guarantee Agency (MIGA), and the International Centre for Settlement of Investment Disputes (ICSID) used for conciliation and arbitration.</w:t>
      </w:r>
    </w:p>
  </w:endnote>
  <w:endnote w:id="5">
    <w:p w14:paraId="15272E81" w14:textId="1FA2844B" w:rsidR="00D32429" w:rsidRPr="00060922" w:rsidRDefault="00D32429" w:rsidP="00060922">
      <w:pPr>
        <w:pStyle w:val="NoSpacing"/>
        <w:spacing w:line="360" w:lineRule="auto"/>
        <w:rPr>
          <w:rFonts w:eastAsia="Times New Roman"/>
          <w:sz w:val="22"/>
          <w:szCs w:val="22"/>
          <w:lang w:eastAsia="en-US"/>
        </w:rPr>
      </w:pPr>
      <w:r w:rsidRPr="00060922">
        <w:rPr>
          <w:rStyle w:val="EndnoteReference"/>
          <w:sz w:val="22"/>
          <w:szCs w:val="22"/>
        </w:rPr>
        <w:endnoteRef/>
      </w:r>
      <w:r w:rsidRPr="00060922">
        <w:rPr>
          <w:sz w:val="22"/>
          <w:szCs w:val="22"/>
        </w:rPr>
        <w:t xml:space="preserve"> </w:t>
      </w:r>
      <w:r w:rsidRPr="00060922">
        <w:rPr>
          <w:rFonts w:eastAsia="Times New Roman"/>
          <w:sz w:val="22"/>
          <w:szCs w:val="22"/>
          <w:lang w:eastAsia="en-US"/>
        </w:rPr>
        <w:t>Concession</w:t>
      </w:r>
      <w:r w:rsidR="001D7F0C">
        <w:rPr>
          <w:rFonts w:eastAsia="Times New Roman"/>
          <w:sz w:val="22"/>
          <w:szCs w:val="22"/>
          <w:lang w:eastAsia="en-US"/>
        </w:rPr>
        <w:t>al</w:t>
      </w:r>
      <w:r w:rsidRPr="00060922">
        <w:rPr>
          <w:rFonts w:eastAsia="Times New Roman"/>
          <w:sz w:val="22"/>
          <w:szCs w:val="22"/>
          <w:lang w:eastAsia="en-US"/>
        </w:rPr>
        <w:t xml:space="preserve"> loans have a zero interest rate while non-concessional loans are subject to market related interest rates (called rate</w:t>
      </w:r>
      <w:r w:rsidR="001D7F0C">
        <w:rPr>
          <w:rFonts w:eastAsia="Times New Roman"/>
          <w:sz w:val="22"/>
          <w:szCs w:val="22"/>
          <w:lang w:eastAsia="en-US"/>
        </w:rPr>
        <w:t>s</w:t>
      </w:r>
      <w:r w:rsidRPr="00060922">
        <w:rPr>
          <w:rFonts w:eastAsia="Times New Roman"/>
          <w:sz w:val="22"/>
          <w:szCs w:val="22"/>
          <w:lang w:eastAsia="en-US"/>
        </w:rPr>
        <w:t xml:space="preserve"> of charge).</w:t>
      </w:r>
    </w:p>
  </w:endnote>
  <w:endnote w:id="6">
    <w:p w14:paraId="65A844C0" w14:textId="68F67FD6" w:rsidR="00D32429" w:rsidRPr="00667161" w:rsidRDefault="00D32429" w:rsidP="00060922">
      <w:pPr>
        <w:spacing w:line="360" w:lineRule="auto"/>
        <w:rPr>
          <w:sz w:val="22"/>
          <w:szCs w:val="22"/>
        </w:rPr>
      </w:pPr>
      <w:r w:rsidRPr="00060922">
        <w:rPr>
          <w:rStyle w:val="EndnoteReference"/>
          <w:sz w:val="22"/>
          <w:szCs w:val="22"/>
        </w:rPr>
        <w:endnoteRef/>
      </w:r>
      <w:r w:rsidRPr="00060922">
        <w:rPr>
          <w:sz w:val="22"/>
          <w:szCs w:val="22"/>
        </w:rPr>
        <w:t xml:space="preserve"> </w:t>
      </w:r>
      <w:r w:rsidRPr="00060922">
        <w:rPr>
          <w:rFonts w:eastAsia="Times New Roman"/>
          <w:sz w:val="22"/>
          <w:szCs w:val="22"/>
          <w:shd w:val="clear" w:color="auto" w:fill="FFFFFF"/>
          <w:lang w:eastAsia="en-US"/>
        </w:rPr>
        <w:t>Several risk factors known for influencing deaths in children are not included due to their high</w:t>
      </w:r>
      <w:r w:rsidRPr="00667161">
        <w:rPr>
          <w:rFonts w:eastAsia="Times New Roman"/>
          <w:sz w:val="22"/>
          <w:szCs w:val="22"/>
          <w:shd w:val="clear" w:color="auto" w:fill="FFFFFF"/>
          <w:lang w:eastAsia="en-US"/>
        </w:rPr>
        <w:t xml:space="preserve"> correlation with GDPpc, for example, access to improved water and sanitation facilities, age dependency ratios, births attended by trained personal, and fertility rates.</w:t>
      </w:r>
    </w:p>
  </w:endnote>
  <w:endnote w:id="7">
    <w:p w14:paraId="6694027A" w14:textId="50150D08" w:rsidR="00D32429" w:rsidRPr="00667161" w:rsidRDefault="00D32429" w:rsidP="002473DB">
      <w:pPr>
        <w:pStyle w:val="EndnoteText"/>
        <w:spacing w:line="360" w:lineRule="auto"/>
        <w:rPr>
          <w:sz w:val="22"/>
          <w:szCs w:val="22"/>
        </w:rPr>
      </w:pPr>
      <w:r w:rsidRPr="00667161">
        <w:rPr>
          <w:rStyle w:val="EndnoteReference"/>
          <w:sz w:val="22"/>
          <w:szCs w:val="22"/>
        </w:rPr>
        <w:endnoteRef/>
      </w:r>
      <w:r w:rsidRPr="00667161">
        <w:rPr>
          <w:sz w:val="22"/>
          <w:szCs w:val="22"/>
        </w:rPr>
        <w:t xml:space="preserve"> This finding is particularly striking since </w:t>
      </w:r>
      <w:r w:rsidR="001D7F0C">
        <w:rPr>
          <w:sz w:val="22"/>
          <w:szCs w:val="22"/>
        </w:rPr>
        <w:t xml:space="preserve">the </w:t>
      </w:r>
      <w:r w:rsidRPr="00667161">
        <w:rPr>
          <w:sz w:val="22"/>
          <w:szCs w:val="22"/>
        </w:rPr>
        <w:t xml:space="preserve">IDA and </w:t>
      </w:r>
      <w:r w:rsidR="001D7F0C">
        <w:rPr>
          <w:sz w:val="22"/>
          <w:szCs w:val="22"/>
        </w:rPr>
        <w:t xml:space="preserve">the </w:t>
      </w:r>
      <w:r w:rsidRPr="00667161">
        <w:rPr>
          <w:sz w:val="22"/>
          <w:szCs w:val="22"/>
        </w:rPr>
        <w:t xml:space="preserve">IBRD share many of the same board members.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F379" w14:textId="77777777" w:rsidR="00D32429" w:rsidRDefault="00D32429" w:rsidP="00253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2054C" w14:textId="77777777" w:rsidR="00D32429" w:rsidRDefault="00D32429" w:rsidP="003408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5298" w14:textId="77777777" w:rsidR="00D32429" w:rsidRDefault="00D32429" w:rsidP="00253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D5D">
      <w:rPr>
        <w:rStyle w:val="PageNumber"/>
        <w:noProof/>
      </w:rPr>
      <w:t>1</w:t>
    </w:r>
    <w:r>
      <w:rPr>
        <w:rStyle w:val="PageNumber"/>
      </w:rPr>
      <w:fldChar w:fldCharType="end"/>
    </w:r>
  </w:p>
  <w:p w14:paraId="31B4E3AE" w14:textId="77777777" w:rsidR="00D32429" w:rsidRDefault="00D32429" w:rsidP="003408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FB4D" w14:textId="77777777" w:rsidR="00D32429" w:rsidRDefault="00D32429" w:rsidP="00527480">
      <w:r>
        <w:separator/>
      </w:r>
    </w:p>
  </w:footnote>
  <w:footnote w:type="continuationSeparator" w:id="0">
    <w:p w14:paraId="11542677" w14:textId="77777777" w:rsidR="00D32429" w:rsidRDefault="00D32429" w:rsidP="005274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8770C8"/>
    <w:multiLevelType w:val="multilevel"/>
    <w:tmpl w:val="E006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B9"/>
    <w:rsid w:val="00000759"/>
    <w:rsid w:val="0000192B"/>
    <w:rsid w:val="0000443B"/>
    <w:rsid w:val="000067FA"/>
    <w:rsid w:val="0000790A"/>
    <w:rsid w:val="000158FB"/>
    <w:rsid w:val="0001799D"/>
    <w:rsid w:val="0002184C"/>
    <w:rsid w:val="0002217F"/>
    <w:rsid w:val="000246E1"/>
    <w:rsid w:val="00026D0B"/>
    <w:rsid w:val="000278A9"/>
    <w:rsid w:val="0003549C"/>
    <w:rsid w:val="00041B7E"/>
    <w:rsid w:val="00043839"/>
    <w:rsid w:val="00045254"/>
    <w:rsid w:val="0004684B"/>
    <w:rsid w:val="000512E1"/>
    <w:rsid w:val="00052C37"/>
    <w:rsid w:val="00054220"/>
    <w:rsid w:val="0005547B"/>
    <w:rsid w:val="00055FFA"/>
    <w:rsid w:val="000600DD"/>
    <w:rsid w:val="00060922"/>
    <w:rsid w:val="0006141D"/>
    <w:rsid w:val="00064ADB"/>
    <w:rsid w:val="000653A6"/>
    <w:rsid w:val="000757E0"/>
    <w:rsid w:val="0007755F"/>
    <w:rsid w:val="00082414"/>
    <w:rsid w:val="00082E67"/>
    <w:rsid w:val="00085BFA"/>
    <w:rsid w:val="00093195"/>
    <w:rsid w:val="000962C8"/>
    <w:rsid w:val="000A097D"/>
    <w:rsid w:val="000A356D"/>
    <w:rsid w:val="000B062B"/>
    <w:rsid w:val="000C20B3"/>
    <w:rsid w:val="000C4266"/>
    <w:rsid w:val="000C4840"/>
    <w:rsid w:val="000C5665"/>
    <w:rsid w:val="000C66EE"/>
    <w:rsid w:val="000D3FBB"/>
    <w:rsid w:val="000F5E33"/>
    <w:rsid w:val="000F5F92"/>
    <w:rsid w:val="000F6418"/>
    <w:rsid w:val="000F6BB2"/>
    <w:rsid w:val="000F73E5"/>
    <w:rsid w:val="00100C8E"/>
    <w:rsid w:val="00104A46"/>
    <w:rsid w:val="001063A2"/>
    <w:rsid w:val="0011129C"/>
    <w:rsid w:val="00111C9B"/>
    <w:rsid w:val="00113250"/>
    <w:rsid w:val="001138A3"/>
    <w:rsid w:val="001215C6"/>
    <w:rsid w:val="00126F30"/>
    <w:rsid w:val="0013153C"/>
    <w:rsid w:val="00136052"/>
    <w:rsid w:val="0013743E"/>
    <w:rsid w:val="00137795"/>
    <w:rsid w:val="00140CC0"/>
    <w:rsid w:val="00141575"/>
    <w:rsid w:val="00142F6B"/>
    <w:rsid w:val="00144D9A"/>
    <w:rsid w:val="00153E7C"/>
    <w:rsid w:val="00157ACE"/>
    <w:rsid w:val="00160995"/>
    <w:rsid w:val="00162820"/>
    <w:rsid w:val="00163E20"/>
    <w:rsid w:val="00165EAC"/>
    <w:rsid w:val="00167134"/>
    <w:rsid w:val="0017200B"/>
    <w:rsid w:val="00172D94"/>
    <w:rsid w:val="00183718"/>
    <w:rsid w:val="001842B1"/>
    <w:rsid w:val="0018778A"/>
    <w:rsid w:val="00190A56"/>
    <w:rsid w:val="001920AB"/>
    <w:rsid w:val="00192D5B"/>
    <w:rsid w:val="00195979"/>
    <w:rsid w:val="001967C5"/>
    <w:rsid w:val="00197E60"/>
    <w:rsid w:val="00197F41"/>
    <w:rsid w:val="001A0C83"/>
    <w:rsid w:val="001A6040"/>
    <w:rsid w:val="001A71AF"/>
    <w:rsid w:val="001A7AD7"/>
    <w:rsid w:val="001B0C01"/>
    <w:rsid w:val="001B4EC0"/>
    <w:rsid w:val="001B7D92"/>
    <w:rsid w:val="001C0AB7"/>
    <w:rsid w:val="001C296B"/>
    <w:rsid w:val="001C3B9F"/>
    <w:rsid w:val="001C3BFE"/>
    <w:rsid w:val="001C52B7"/>
    <w:rsid w:val="001C676B"/>
    <w:rsid w:val="001D2AE1"/>
    <w:rsid w:val="001D6040"/>
    <w:rsid w:val="001D7F0C"/>
    <w:rsid w:val="001E064B"/>
    <w:rsid w:val="001E327A"/>
    <w:rsid w:val="001E393E"/>
    <w:rsid w:val="001E6E55"/>
    <w:rsid w:val="001E739D"/>
    <w:rsid w:val="001E7D04"/>
    <w:rsid w:val="001F2E69"/>
    <w:rsid w:val="001F64F6"/>
    <w:rsid w:val="00200749"/>
    <w:rsid w:val="0020711C"/>
    <w:rsid w:val="00211901"/>
    <w:rsid w:val="00215EFB"/>
    <w:rsid w:val="00216DF8"/>
    <w:rsid w:val="00222294"/>
    <w:rsid w:val="002230C8"/>
    <w:rsid w:val="002236F5"/>
    <w:rsid w:val="002336E3"/>
    <w:rsid w:val="00240C8A"/>
    <w:rsid w:val="002421AC"/>
    <w:rsid w:val="002473DB"/>
    <w:rsid w:val="00250A5C"/>
    <w:rsid w:val="002539D0"/>
    <w:rsid w:val="002550C9"/>
    <w:rsid w:val="00255112"/>
    <w:rsid w:val="00255220"/>
    <w:rsid w:val="00255581"/>
    <w:rsid w:val="00257965"/>
    <w:rsid w:val="002622FB"/>
    <w:rsid w:val="002909CE"/>
    <w:rsid w:val="002941EE"/>
    <w:rsid w:val="002A1B1B"/>
    <w:rsid w:val="002A2794"/>
    <w:rsid w:val="002B065F"/>
    <w:rsid w:val="002B08A0"/>
    <w:rsid w:val="002B534D"/>
    <w:rsid w:val="002B5F00"/>
    <w:rsid w:val="002B6964"/>
    <w:rsid w:val="002C1E51"/>
    <w:rsid w:val="002C3205"/>
    <w:rsid w:val="002C7A34"/>
    <w:rsid w:val="002D0DA1"/>
    <w:rsid w:val="002D34AE"/>
    <w:rsid w:val="002D750B"/>
    <w:rsid w:val="002D7A26"/>
    <w:rsid w:val="002E0FF2"/>
    <w:rsid w:val="002F0BD0"/>
    <w:rsid w:val="002F3C55"/>
    <w:rsid w:val="002F6F14"/>
    <w:rsid w:val="00303243"/>
    <w:rsid w:val="00303E64"/>
    <w:rsid w:val="003057C4"/>
    <w:rsid w:val="003078B8"/>
    <w:rsid w:val="003103C6"/>
    <w:rsid w:val="0031527D"/>
    <w:rsid w:val="003207B2"/>
    <w:rsid w:val="00321A24"/>
    <w:rsid w:val="003255B0"/>
    <w:rsid w:val="00333FCB"/>
    <w:rsid w:val="00334ACC"/>
    <w:rsid w:val="003354FC"/>
    <w:rsid w:val="00340828"/>
    <w:rsid w:val="003411DE"/>
    <w:rsid w:val="00350CB7"/>
    <w:rsid w:val="00361473"/>
    <w:rsid w:val="00363EB7"/>
    <w:rsid w:val="0036592E"/>
    <w:rsid w:val="00365E79"/>
    <w:rsid w:val="0037136F"/>
    <w:rsid w:val="003713EC"/>
    <w:rsid w:val="00384539"/>
    <w:rsid w:val="00385535"/>
    <w:rsid w:val="003920CF"/>
    <w:rsid w:val="003930B6"/>
    <w:rsid w:val="00393FB3"/>
    <w:rsid w:val="00394A2D"/>
    <w:rsid w:val="003959ED"/>
    <w:rsid w:val="003A7710"/>
    <w:rsid w:val="003A7910"/>
    <w:rsid w:val="003B0BEF"/>
    <w:rsid w:val="003B10F7"/>
    <w:rsid w:val="003B12B8"/>
    <w:rsid w:val="003B19BB"/>
    <w:rsid w:val="003B2825"/>
    <w:rsid w:val="003B50FE"/>
    <w:rsid w:val="003B5DD8"/>
    <w:rsid w:val="003C6BE5"/>
    <w:rsid w:val="003D32F7"/>
    <w:rsid w:val="003D4DD8"/>
    <w:rsid w:val="003E1BDC"/>
    <w:rsid w:val="003E2BA1"/>
    <w:rsid w:val="003E577A"/>
    <w:rsid w:val="003E5A19"/>
    <w:rsid w:val="003E7A26"/>
    <w:rsid w:val="003F53AF"/>
    <w:rsid w:val="003F6554"/>
    <w:rsid w:val="003F66F1"/>
    <w:rsid w:val="003F7A1E"/>
    <w:rsid w:val="00400480"/>
    <w:rsid w:val="00401FFB"/>
    <w:rsid w:val="004022A5"/>
    <w:rsid w:val="0040251D"/>
    <w:rsid w:val="004031B6"/>
    <w:rsid w:val="00403669"/>
    <w:rsid w:val="00404EA5"/>
    <w:rsid w:val="004129EE"/>
    <w:rsid w:val="004165D4"/>
    <w:rsid w:val="00416B48"/>
    <w:rsid w:val="00423A58"/>
    <w:rsid w:val="004262E1"/>
    <w:rsid w:val="00430256"/>
    <w:rsid w:val="00430DC2"/>
    <w:rsid w:val="004344BB"/>
    <w:rsid w:val="004371EB"/>
    <w:rsid w:val="0044314D"/>
    <w:rsid w:val="004502EE"/>
    <w:rsid w:val="00461CC8"/>
    <w:rsid w:val="004620B9"/>
    <w:rsid w:val="004622FD"/>
    <w:rsid w:val="004624BA"/>
    <w:rsid w:val="004665B9"/>
    <w:rsid w:val="004676EF"/>
    <w:rsid w:val="00473056"/>
    <w:rsid w:val="004743E7"/>
    <w:rsid w:val="00482DE4"/>
    <w:rsid w:val="00483133"/>
    <w:rsid w:val="00486FC5"/>
    <w:rsid w:val="0049134B"/>
    <w:rsid w:val="0049266D"/>
    <w:rsid w:val="004926B3"/>
    <w:rsid w:val="00492892"/>
    <w:rsid w:val="00493803"/>
    <w:rsid w:val="004938E7"/>
    <w:rsid w:val="004A7670"/>
    <w:rsid w:val="004B4707"/>
    <w:rsid w:val="004B5322"/>
    <w:rsid w:val="004C173C"/>
    <w:rsid w:val="004C243A"/>
    <w:rsid w:val="004C30CA"/>
    <w:rsid w:val="004C6A57"/>
    <w:rsid w:val="004D2513"/>
    <w:rsid w:val="004E19C5"/>
    <w:rsid w:val="004E2872"/>
    <w:rsid w:val="004E44B0"/>
    <w:rsid w:val="004E54DE"/>
    <w:rsid w:val="004E5716"/>
    <w:rsid w:val="004F237B"/>
    <w:rsid w:val="00503A19"/>
    <w:rsid w:val="005054A4"/>
    <w:rsid w:val="00506DAA"/>
    <w:rsid w:val="00512590"/>
    <w:rsid w:val="00513E78"/>
    <w:rsid w:val="00514524"/>
    <w:rsid w:val="005169E8"/>
    <w:rsid w:val="00517C42"/>
    <w:rsid w:val="0052264E"/>
    <w:rsid w:val="00527480"/>
    <w:rsid w:val="005308F3"/>
    <w:rsid w:val="00537A9F"/>
    <w:rsid w:val="00537AA7"/>
    <w:rsid w:val="005472AE"/>
    <w:rsid w:val="00553282"/>
    <w:rsid w:val="005540EF"/>
    <w:rsid w:val="00554174"/>
    <w:rsid w:val="00557960"/>
    <w:rsid w:val="00560996"/>
    <w:rsid w:val="00584CCA"/>
    <w:rsid w:val="005871FC"/>
    <w:rsid w:val="00593946"/>
    <w:rsid w:val="00595569"/>
    <w:rsid w:val="005A0DF1"/>
    <w:rsid w:val="005A26BC"/>
    <w:rsid w:val="005A5553"/>
    <w:rsid w:val="005B48FC"/>
    <w:rsid w:val="005B6437"/>
    <w:rsid w:val="005B7A60"/>
    <w:rsid w:val="005C3188"/>
    <w:rsid w:val="005C556C"/>
    <w:rsid w:val="005C55F1"/>
    <w:rsid w:val="005C62FD"/>
    <w:rsid w:val="005C6722"/>
    <w:rsid w:val="005D6707"/>
    <w:rsid w:val="005D6FD7"/>
    <w:rsid w:val="005D7676"/>
    <w:rsid w:val="005D78BB"/>
    <w:rsid w:val="005E1B9F"/>
    <w:rsid w:val="005E25CD"/>
    <w:rsid w:val="005E587B"/>
    <w:rsid w:val="005E6B97"/>
    <w:rsid w:val="005F0F0B"/>
    <w:rsid w:val="005F1B32"/>
    <w:rsid w:val="005F258E"/>
    <w:rsid w:val="005F53D8"/>
    <w:rsid w:val="005F73E4"/>
    <w:rsid w:val="0061003F"/>
    <w:rsid w:val="006175D5"/>
    <w:rsid w:val="006239DF"/>
    <w:rsid w:val="00625D88"/>
    <w:rsid w:val="00630A98"/>
    <w:rsid w:val="006321FB"/>
    <w:rsid w:val="00632DAF"/>
    <w:rsid w:val="00634EFC"/>
    <w:rsid w:val="00640791"/>
    <w:rsid w:val="0064311A"/>
    <w:rsid w:val="0064515E"/>
    <w:rsid w:val="00645325"/>
    <w:rsid w:val="00650FC0"/>
    <w:rsid w:val="00653098"/>
    <w:rsid w:val="00657235"/>
    <w:rsid w:val="00657AD9"/>
    <w:rsid w:val="006630F1"/>
    <w:rsid w:val="00667161"/>
    <w:rsid w:val="00674192"/>
    <w:rsid w:val="00677770"/>
    <w:rsid w:val="0068308B"/>
    <w:rsid w:val="00683E06"/>
    <w:rsid w:val="00687408"/>
    <w:rsid w:val="006918E0"/>
    <w:rsid w:val="00694C89"/>
    <w:rsid w:val="00696F39"/>
    <w:rsid w:val="006A120C"/>
    <w:rsid w:val="006A3631"/>
    <w:rsid w:val="006A6798"/>
    <w:rsid w:val="006B7D0D"/>
    <w:rsid w:val="006C2641"/>
    <w:rsid w:val="006D1032"/>
    <w:rsid w:val="006D1246"/>
    <w:rsid w:val="006D170E"/>
    <w:rsid w:val="006D3875"/>
    <w:rsid w:val="006D3F20"/>
    <w:rsid w:val="006D43E8"/>
    <w:rsid w:val="006D4A24"/>
    <w:rsid w:val="006E38DB"/>
    <w:rsid w:val="006F0469"/>
    <w:rsid w:val="006F0D2B"/>
    <w:rsid w:val="006F49CE"/>
    <w:rsid w:val="006F510A"/>
    <w:rsid w:val="006F6001"/>
    <w:rsid w:val="006F7EDB"/>
    <w:rsid w:val="007059CA"/>
    <w:rsid w:val="007069B8"/>
    <w:rsid w:val="00711C1D"/>
    <w:rsid w:val="00717DA3"/>
    <w:rsid w:val="00725B49"/>
    <w:rsid w:val="007308D6"/>
    <w:rsid w:val="007337E5"/>
    <w:rsid w:val="00734904"/>
    <w:rsid w:val="00737286"/>
    <w:rsid w:val="00737FB1"/>
    <w:rsid w:val="00742844"/>
    <w:rsid w:val="0074567B"/>
    <w:rsid w:val="00746F34"/>
    <w:rsid w:val="007514E0"/>
    <w:rsid w:val="00755592"/>
    <w:rsid w:val="007562BF"/>
    <w:rsid w:val="00761418"/>
    <w:rsid w:val="00763FA3"/>
    <w:rsid w:val="0076443A"/>
    <w:rsid w:val="007703D6"/>
    <w:rsid w:val="0077377E"/>
    <w:rsid w:val="00776B0D"/>
    <w:rsid w:val="007770A3"/>
    <w:rsid w:val="007779C3"/>
    <w:rsid w:val="007835DC"/>
    <w:rsid w:val="00790492"/>
    <w:rsid w:val="00790806"/>
    <w:rsid w:val="00792525"/>
    <w:rsid w:val="00793B1A"/>
    <w:rsid w:val="007A3C99"/>
    <w:rsid w:val="007A40EB"/>
    <w:rsid w:val="007B40D5"/>
    <w:rsid w:val="007C7249"/>
    <w:rsid w:val="007D1433"/>
    <w:rsid w:val="007D4233"/>
    <w:rsid w:val="007D5022"/>
    <w:rsid w:val="007E2D29"/>
    <w:rsid w:val="007E335D"/>
    <w:rsid w:val="007F59A3"/>
    <w:rsid w:val="007F6743"/>
    <w:rsid w:val="00800267"/>
    <w:rsid w:val="00802E77"/>
    <w:rsid w:val="008032F9"/>
    <w:rsid w:val="0080549F"/>
    <w:rsid w:val="008070DF"/>
    <w:rsid w:val="00814299"/>
    <w:rsid w:val="008144E2"/>
    <w:rsid w:val="00823729"/>
    <w:rsid w:val="00830015"/>
    <w:rsid w:val="00830AA9"/>
    <w:rsid w:val="00831331"/>
    <w:rsid w:val="0084176A"/>
    <w:rsid w:val="0084209C"/>
    <w:rsid w:val="00843D50"/>
    <w:rsid w:val="00853CAB"/>
    <w:rsid w:val="00853F08"/>
    <w:rsid w:val="00854381"/>
    <w:rsid w:val="008613B5"/>
    <w:rsid w:val="00862EFA"/>
    <w:rsid w:val="00862F63"/>
    <w:rsid w:val="0086337B"/>
    <w:rsid w:val="008657AB"/>
    <w:rsid w:val="008701F6"/>
    <w:rsid w:val="008712A0"/>
    <w:rsid w:val="0087130D"/>
    <w:rsid w:val="00872F73"/>
    <w:rsid w:val="00880376"/>
    <w:rsid w:val="00880CAA"/>
    <w:rsid w:val="00882CB8"/>
    <w:rsid w:val="00884A5B"/>
    <w:rsid w:val="00884B49"/>
    <w:rsid w:val="00894859"/>
    <w:rsid w:val="008954E4"/>
    <w:rsid w:val="00895E40"/>
    <w:rsid w:val="00897DFA"/>
    <w:rsid w:val="008A0227"/>
    <w:rsid w:val="008A6B5E"/>
    <w:rsid w:val="008B0D32"/>
    <w:rsid w:val="008B2771"/>
    <w:rsid w:val="008C30C1"/>
    <w:rsid w:val="008C696C"/>
    <w:rsid w:val="008C6FFD"/>
    <w:rsid w:val="008D1F84"/>
    <w:rsid w:val="008D32BD"/>
    <w:rsid w:val="008D3D8D"/>
    <w:rsid w:val="008D422F"/>
    <w:rsid w:val="008D6834"/>
    <w:rsid w:val="008D7049"/>
    <w:rsid w:val="008E1654"/>
    <w:rsid w:val="008E5D7A"/>
    <w:rsid w:val="008F17B4"/>
    <w:rsid w:val="008F5D5D"/>
    <w:rsid w:val="009073ED"/>
    <w:rsid w:val="00907F67"/>
    <w:rsid w:val="0092065E"/>
    <w:rsid w:val="0092221C"/>
    <w:rsid w:val="00924766"/>
    <w:rsid w:val="00927B10"/>
    <w:rsid w:val="00931EE5"/>
    <w:rsid w:val="00934B61"/>
    <w:rsid w:val="00937C46"/>
    <w:rsid w:val="00941D4D"/>
    <w:rsid w:val="00947C58"/>
    <w:rsid w:val="009520A9"/>
    <w:rsid w:val="00953119"/>
    <w:rsid w:val="0095663C"/>
    <w:rsid w:val="0095772C"/>
    <w:rsid w:val="009615A8"/>
    <w:rsid w:val="00961DB7"/>
    <w:rsid w:val="00961FD2"/>
    <w:rsid w:val="00962795"/>
    <w:rsid w:val="00963024"/>
    <w:rsid w:val="00964559"/>
    <w:rsid w:val="00965D00"/>
    <w:rsid w:val="009677D0"/>
    <w:rsid w:val="009802D0"/>
    <w:rsid w:val="00983751"/>
    <w:rsid w:val="0099424C"/>
    <w:rsid w:val="009A01C9"/>
    <w:rsid w:val="009A0AFB"/>
    <w:rsid w:val="009A4021"/>
    <w:rsid w:val="009A75F1"/>
    <w:rsid w:val="009A7F2D"/>
    <w:rsid w:val="009B0F23"/>
    <w:rsid w:val="009B11B9"/>
    <w:rsid w:val="009B1C5D"/>
    <w:rsid w:val="009B5962"/>
    <w:rsid w:val="009B6D5B"/>
    <w:rsid w:val="009C2C0A"/>
    <w:rsid w:val="009C6785"/>
    <w:rsid w:val="009D0953"/>
    <w:rsid w:val="009D5C0E"/>
    <w:rsid w:val="009D7B46"/>
    <w:rsid w:val="009E3D96"/>
    <w:rsid w:val="009F46FE"/>
    <w:rsid w:val="009F4D27"/>
    <w:rsid w:val="00A037D0"/>
    <w:rsid w:val="00A04D29"/>
    <w:rsid w:val="00A06807"/>
    <w:rsid w:val="00A114A2"/>
    <w:rsid w:val="00A14EC5"/>
    <w:rsid w:val="00A21B6A"/>
    <w:rsid w:val="00A32E11"/>
    <w:rsid w:val="00A40CF4"/>
    <w:rsid w:val="00A41B86"/>
    <w:rsid w:val="00A42D61"/>
    <w:rsid w:val="00A42DB9"/>
    <w:rsid w:val="00A447F7"/>
    <w:rsid w:val="00A44F44"/>
    <w:rsid w:val="00A4615E"/>
    <w:rsid w:val="00A523C6"/>
    <w:rsid w:val="00A52452"/>
    <w:rsid w:val="00A539A2"/>
    <w:rsid w:val="00A6237D"/>
    <w:rsid w:val="00A6433F"/>
    <w:rsid w:val="00A660D5"/>
    <w:rsid w:val="00A666F3"/>
    <w:rsid w:val="00A66A24"/>
    <w:rsid w:val="00A6764C"/>
    <w:rsid w:val="00A8096B"/>
    <w:rsid w:val="00A827F7"/>
    <w:rsid w:val="00A90966"/>
    <w:rsid w:val="00A920EB"/>
    <w:rsid w:val="00AA19F3"/>
    <w:rsid w:val="00AA3928"/>
    <w:rsid w:val="00AA4300"/>
    <w:rsid w:val="00AA5C33"/>
    <w:rsid w:val="00AB0F18"/>
    <w:rsid w:val="00AB7218"/>
    <w:rsid w:val="00AC777C"/>
    <w:rsid w:val="00AD7229"/>
    <w:rsid w:val="00AD782B"/>
    <w:rsid w:val="00B00887"/>
    <w:rsid w:val="00B02353"/>
    <w:rsid w:val="00B02D1F"/>
    <w:rsid w:val="00B06B57"/>
    <w:rsid w:val="00B06E6F"/>
    <w:rsid w:val="00B07AF5"/>
    <w:rsid w:val="00B10938"/>
    <w:rsid w:val="00B11ED6"/>
    <w:rsid w:val="00B13B7A"/>
    <w:rsid w:val="00B16AA2"/>
    <w:rsid w:val="00B17E47"/>
    <w:rsid w:val="00B17FA5"/>
    <w:rsid w:val="00B24A4B"/>
    <w:rsid w:val="00B25FED"/>
    <w:rsid w:val="00B2603D"/>
    <w:rsid w:val="00B260B1"/>
    <w:rsid w:val="00B27B4E"/>
    <w:rsid w:val="00B30FA1"/>
    <w:rsid w:val="00B31568"/>
    <w:rsid w:val="00B337AB"/>
    <w:rsid w:val="00B4214C"/>
    <w:rsid w:val="00B42AC5"/>
    <w:rsid w:val="00B44F22"/>
    <w:rsid w:val="00B4668A"/>
    <w:rsid w:val="00B47B15"/>
    <w:rsid w:val="00B51989"/>
    <w:rsid w:val="00B5379C"/>
    <w:rsid w:val="00B5446C"/>
    <w:rsid w:val="00B56744"/>
    <w:rsid w:val="00B650E6"/>
    <w:rsid w:val="00B66AC3"/>
    <w:rsid w:val="00B70705"/>
    <w:rsid w:val="00B7453E"/>
    <w:rsid w:val="00B76451"/>
    <w:rsid w:val="00B773DB"/>
    <w:rsid w:val="00B82247"/>
    <w:rsid w:val="00B8312B"/>
    <w:rsid w:val="00B85123"/>
    <w:rsid w:val="00B85C85"/>
    <w:rsid w:val="00B860DB"/>
    <w:rsid w:val="00B861F1"/>
    <w:rsid w:val="00B86448"/>
    <w:rsid w:val="00B87861"/>
    <w:rsid w:val="00B913B9"/>
    <w:rsid w:val="00B92076"/>
    <w:rsid w:val="00B923DE"/>
    <w:rsid w:val="00B9594D"/>
    <w:rsid w:val="00B96C3C"/>
    <w:rsid w:val="00BA62FF"/>
    <w:rsid w:val="00BB0551"/>
    <w:rsid w:val="00BB0913"/>
    <w:rsid w:val="00BB1828"/>
    <w:rsid w:val="00BB1F3C"/>
    <w:rsid w:val="00BB415F"/>
    <w:rsid w:val="00BB55C4"/>
    <w:rsid w:val="00BB5AE8"/>
    <w:rsid w:val="00BB5DDC"/>
    <w:rsid w:val="00BB6D46"/>
    <w:rsid w:val="00BC1014"/>
    <w:rsid w:val="00BC1148"/>
    <w:rsid w:val="00BC467A"/>
    <w:rsid w:val="00BC51B5"/>
    <w:rsid w:val="00BC5868"/>
    <w:rsid w:val="00BC6420"/>
    <w:rsid w:val="00BD09E9"/>
    <w:rsid w:val="00BD2DDF"/>
    <w:rsid w:val="00BE21E2"/>
    <w:rsid w:val="00BE245A"/>
    <w:rsid w:val="00BE4D27"/>
    <w:rsid w:val="00BE77E4"/>
    <w:rsid w:val="00BE7E17"/>
    <w:rsid w:val="00BF1A7F"/>
    <w:rsid w:val="00BF44F0"/>
    <w:rsid w:val="00BF69D7"/>
    <w:rsid w:val="00C00EA8"/>
    <w:rsid w:val="00C0173E"/>
    <w:rsid w:val="00C06BBB"/>
    <w:rsid w:val="00C14A56"/>
    <w:rsid w:val="00C164F4"/>
    <w:rsid w:val="00C226D7"/>
    <w:rsid w:val="00C244D0"/>
    <w:rsid w:val="00C2537C"/>
    <w:rsid w:val="00C25EC8"/>
    <w:rsid w:val="00C26671"/>
    <w:rsid w:val="00C30FC6"/>
    <w:rsid w:val="00C33E34"/>
    <w:rsid w:val="00C404F4"/>
    <w:rsid w:val="00C423C8"/>
    <w:rsid w:val="00C426DB"/>
    <w:rsid w:val="00C42B14"/>
    <w:rsid w:val="00C45AC1"/>
    <w:rsid w:val="00C551FD"/>
    <w:rsid w:val="00C556F2"/>
    <w:rsid w:val="00C56E6E"/>
    <w:rsid w:val="00C62C0E"/>
    <w:rsid w:val="00C700CE"/>
    <w:rsid w:val="00C73AF8"/>
    <w:rsid w:val="00C82F68"/>
    <w:rsid w:val="00C86791"/>
    <w:rsid w:val="00C8740E"/>
    <w:rsid w:val="00C9081D"/>
    <w:rsid w:val="00C93D8F"/>
    <w:rsid w:val="00CA103C"/>
    <w:rsid w:val="00CA1FBD"/>
    <w:rsid w:val="00CA70AC"/>
    <w:rsid w:val="00CA7A35"/>
    <w:rsid w:val="00CB0954"/>
    <w:rsid w:val="00CB0D56"/>
    <w:rsid w:val="00CB1831"/>
    <w:rsid w:val="00CB243D"/>
    <w:rsid w:val="00CB68F1"/>
    <w:rsid w:val="00CB6C1E"/>
    <w:rsid w:val="00CB7B0A"/>
    <w:rsid w:val="00CC12BF"/>
    <w:rsid w:val="00CC1E6E"/>
    <w:rsid w:val="00CC2EC9"/>
    <w:rsid w:val="00CC501D"/>
    <w:rsid w:val="00CC67FA"/>
    <w:rsid w:val="00CE0E15"/>
    <w:rsid w:val="00CE1F3E"/>
    <w:rsid w:val="00CE5DCE"/>
    <w:rsid w:val="00CF44F0"/>
    <w:rsid w:val="00CF4DFD"/>
    <w:rsid w:val="00CF651C"/>
    <w:rsid w:val="00CF68C1"/>
    <w:rsid w:val="00CF6F69"/>
    <w:rsid w:val="00D01F24"/>
    <w:rsid w:val="00D056DA"/>
    <w:rsid w:val="00D05BE2"/>
    <w:rsid w:val="00D06DE4"/>
    <w:rsid w:val="00D108AA"/>
    <w:rsid w:val="00D11496"/>
    <w:rsid w:val="00D12B43"/>
    <w:rsid w:val="00D144DD"/>
    <w:rsid w:val="00D16430"/>
    <w:rsid w:val="00D17B7F"/>
    <w:rsid w:val="00D30133"/>
    <w:rsid w:val="00D30E6A"/>
    <w:rsid w:val="00D32429"/>
    <w:rsid w:val="00D32828"/>
    <w:rsid w:val="00D3284F"/>
    <w:rsid w:val="00D3464B"/>
    <w:rsid w:val="00D35628"/>
    <w:rsid w:val="00D41108"/>
    <w:rsid w:val="00D425DF"/>
    <w:rsid w:val="00D47F38"/>
    <w:rsid w:val="00D521B5"/>
    <w:rsid w:val="00D55BB3"/>
    <w:rsid w:val="00D56C68"/>
    <w:rsid w:val="00D65C85"/>
    <w:rsid w:val="00D744E7"/>
    <w:rsid w:val="00D805AC"/>
    <w:rsid w:val="00D82D5F"/>
    <w:rsid w:val="00D91055"/>
    <w:rsid w:val="00D948F5"/>
    <w:rsid w:val="00D95E14"/>
    <w:rsid w:val="00DB0466"/>
    <w:rsid w:val="00DB3CCD"/>
    <w:rsid w:val="00DB4480"/>
    <w:rsid w:val="00DB6330"/>
    <w:rsid w:val="00DC2C31"/>
    <w:rsid w:val="00DC2EC4"/>
    <w:rsid w:val="00DD4CDF"/>
    <w:rsid w:val="00DE47EB"/>
    <w:rsid w:val="00DE56EF"/>
    <w:rsid w:val="00DE75BF"/>
    <w:rsid w:val="00DF0674"/>
    <w:rsid w:val="00DF5BF0"/>
    <w:rsid w:val="00DF5DB0"/>
    <w:rsid w:val="00E06787"/>
    <w:rsid w:val="00E14E14"/>
    <w:rsid w:val="00E153E5"/>
    <w:rsid w:val="00E16754"/>
    <w:rsid w:val="00E23BE1"/>
    <w:rsid w:val="00E27B1E"/>
    <w:rsid w:val="00E3041B"/>
    <w:rsid w:val="00E32DD0"/>
    <w:rsid w:val="00E36355"/>
    <w:rsid w:val="00E37033"/>
    <w:rsid w:val="00E42116"/>
    <w:rsid w:val="00E44AB6"/>
    <w:rsid w:val="00E478AB"/>
    <w:rsid w:val="00E511CF"/>
    <w:rsid w:val="00E54A12"/>
    <w:rsid w:val="00E55B43"/>
    <w:rsid w:val="00E55B9E"/>
    <w:rsid w:val="00E55F4D"/>
    <w:rsid w:val="00E61709"/>
    <w:rsid w:val="00E662D2"/>
    <w:rsid w:val="00E748D4"/>
    <w:rsid w:val="00E754AB"/>
    <w:rsid w:val="00E77E56"/>
    <w:rsid w:val="00E8456A"/>
    <w:rsid w:val="00E90315"/>
    <w:rsid w:val="00E91A90"/>
    <w:rsid w:val="00E96F82"/>
    <w:rsid w:val="00E97FA3"/>
    <w:rsid w:val="00EA24E3"/>
    <w:rsid w:val="00EA6620"/>
    <w:rsid w:val="00EB1D8A"/>
    <w:rsid w:val="00EB2417"/>
    <w:rsid w:val="00EB5569"/>
    <w:rsid w:val="00EC31B3"/>
    <w:rsid w:val="00EC53D1"/>
    <w:rsid w:val="00EC6DCF"/>
    <w:rsid w:val="00EC75CE"/>
    <w:rsid w:val="00EE24CC"/>
    <w:rsid w:val="00EE4928"/>
    <w:rsid w:val="00EF433B"/>
    <w:rsid w:val="00EF5114"/>
    <w:rsid w:val="00F05ABF"/>
    <w:rsid w:val="00F12222"/>
    <w:rsid w:val="00F1588F"/>
    <w:rsid w:val="00F16199"/>
    <w:rsid w:val="00F200CE"/>
    <w:rsid w:val="00F24964"/>
    <w:rsid w:val="00F2769C"/>
    <w:rsid w:val="00F306F2"/>
    <w:rsid w:val="00F317F4"/>
    <w:rsid w:val="00F33E78"/>
    <w:rsid w:val="00F35A1A"/>
    <w:rsid w:val="00F41887"/>
    <w:rsid w:val="00F4446D"/>
    <w:rsid w:val="00F476A7"/>
    <w:rsid w:val="00F53435"/>
    <w:rsid w:val="00F53A20"/>
    <w:rsid w:val="00F53B24"/>
    <w:rsid w:val="00F55572"/>
    <w:rsid w:val="00F55963"/>
    <w:rsid w:val="00F60EBB"/>
    <w:rsid w:val="00F61BFD"/>
    <w:rsid w:val="00F622DF"/>
    <w:rsid w:val="00F64AD9"/>
    <w:rsid w:val="00F73502"/>
    <w:rsid w:val="00F77A63"/>
    <w:rsid w:val="00F87EAE"/>
    <w:rsid w:val="00F90703"/>
    <w:rsid w:val="00F913BD"/>
    <w:rsid w:val="00F9161C"/>
    <w:rsid w:val="00F94014"/>
    <w:rsid w:val="00F95A6E"/>
    <w:rsid w:val="00F96865"/>
    <w:rsid w:val="00FA0B70"/>
    <w:rsid w:val="00FA725E"/>
    <w:rsid w:val="00FB1020"/>
    <w:rsid w:val="00FB3445"/>
    <w:rsid w:val="00FB47E7"/>
    <w:rsid w:val="00FC212A"/>
    <w:rsid w:val="00FC4EDD"/>
    <w:rsid w:val="00FC5AC8"/>
    <w:rsid w:val="00FC7CC2"/>
    <w:rsid w:val="00FD484C"/>
    <w:rsid w:val="00FD6CD4"/>
    <w:rsid w:val="00FE2072"/>
    <w:rsid w:val="00FE2193"/>
    <w:rsid w:val="00FE2D9F"/>
    <w:rsid w:val="00FF0A49"/>
    <w:rsid w:val="00FF23E1"/>
    <w:rsid w:val="00FF62DE"/>
    <w:rsid w:val="00FF6F85"/>
    <w:rsid w:val="00FF73C9"/>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85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9"/>
    <w:rPr>
      <w:rFonts w:ascii="Times New Roman" w:eastAsia="MS Mincho" w:hAnsi="Times New Roman" w:cs="Times New Roman"/>
      <w:lang w:eastAsia="ja-JP"/>
    </w:rPr>
  </w:style>
  <w:style w:type="paragraph" w:styleId="Heading1">
    <w:name w:val="heading 1"/>
    <w:basedOn w:val="Normal"/>
    <w:link w:val="Heading1Char"/>
    <w:uiPriority w:val="9"/>
    <w:qFormat/>
    <w:rsid w:val="00687408"/>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5B9"/>
    <w:rPr>
      <w:color w:val="0000FF"/>
      <w:u w:val="single"/>
    </w:rPr>
  </w:style>
  <w:style w:type="character" w:styleId="EndnoteReference">
    <w:name w:val="endnote reference"/>
    <w:basedOn w:val="DefaultParagraphFont"/>
    <w:semiHidden/>
    <w:rsid w:val="00527480"/>
    <w:rPr>
      <w:vertAlign w:val="superscript"/>
    </w:rPr>
  </w:style>
  <w:style w:type="paragraph" w:styleId="EndnoteText">
    <w:name w:val="endnote text"/>
    <w:basedOn w:val="Normal"/>
    <w:link w:val="EndnoteTextChar"/>
    <w:semiHidden/>
    <w:rsid w:val="00527480"/>
    <w:rPr>
      <w:sz w:val="20"/>
      <w:szCs w:val="20"/>
    </w:rPr>
  </w:style>
  <w:style w:type="character" w:customStyle="1" w:styleId="EndnoteTextChar">
    <w:name w:val="Endnote Text Char"/>
    <w:basedOn w:val="DefaultParagraphFont"/>
    <w:link w:val="EndnoteText"/>
    <w:semiHidden/>
    <w:rsid w:val="00527480"/>
    <w:rPr>
      <w:rFonts w:ascii="Times New Roman" w:eastAsia="MS Mincho" w:hAnsi="Times New Roman" w:cs="Times New Roman"/>
      <w:sz w:val="20"/>
      <w:szCs w:val="20"/>
      <w:lang w:eastAsia="ja-JP"/>
    </w:rPr>
  </w:style>
  <w:style w:type="character" w:styleId="Emphasis">
    <w:name w:val="Emphasis"/>
    <w:basedOn w:val="DefaultParagraphFont"/>
    <w:uiPriority w:val="20"/>
    <w:qFormat/>
    <w:rsid w:val="00527480"/>
    <w:rPr>
      <w:i/>
      <w:iCs/>
    </w:rPr>
  </w:style>
  <w:style w:type="character" w:customStyle="1" w:styleId="Heading1Char">
    <w:name w:val="Heading 1 Char"/>
    <w:basedOn w:val="DefaultParagraphFont"/>
    <w:link w:val="Heading1"/>
    <w:uiPriority w:val="9"/>
    <w:rsid w:val="00687408"/>
    <w:rPr>
      <w:rFonts w:ascii="Times" w:hAnsi="Times"/>
      <w:b/>
      <w:bCs/>
      <w:kern w:val="36"/>
      <w:sz w:val="48"/>
      <w:szCs w:val="48"/>
    </w:rPr>
  </w:style>
  <w:style w:type="paragraph" w:styleId="FootnoteText">
    <w:name w:val="footnote text"/>
    <w:basedOn w:val="Normal"/>
    <w:link w:val="FootnoteTextChar"/>
    <w:uiPriority w:val="99"/>
    <w:unhideWhenUsed/>
    <w:rsid w:val="00216DF8"/>
  </w:style>
  <w:style w:type="character" w:customStyle="1" w:styleId="FootnoteTextChar">
    <w:name w:val="Footnote Text Char"/>
    <w:basedOn w:val="DefaultParagraphFont"/>
    <w:link w:val="FootnoteText"/>
    <w:uiPriority w:val="99"/>
    <w:rsid w:val="00216DF8"/>
    <w:rPr>
      <w:rFonts w:ascii="Times New Roman" w:eastAsia="MS Mincho" w:hAnsi="Times New Roman" w:cs="Times New Roman"/>
      <w:lang w:eastAsia="ja-JP"/>
    </w:rPr>
  </w:style>
  <w:style w:type="character" w:styleId="FootnoteReference">
    <w:name w:val="footnote reference"/>
    <w:basedOn w:val="DefaultParagraphFont"/>
    <w:uiPriority w:val="99"/>
    <w:unhideWhenUsed/>
    <w:rsid w:val="00216DF8"/>
    <w:rPr>
      <w:vertAlign w:val="superscript"/>
    </w:rPr>
  </w:style>
  <w:style w:type="character" w:customStyle="1" w:styleId="apple-converted-space">
    <w:name w:val="apple-converted-space"/>
    <w:basedOn w:val="DefaultParagraphFont"/>
    <w:rsid w:val="0020711C"/>
  </w:style>
  <w:style w:type="character" w:styleId="Strong">
    <w:name w:val="Strong"/>
    <w:basedOn w:val="DefaultParagraphFont"/>
    <w:uiPriority w:val="22"/>
    <w:qFormat/>
    <w:rsid w:val="00473056"/>
    <w:rPr>
      <w:b/>
      <w:bCs/>
    </w:rPr>
  </w:style>
  <w:style w:type="paragraph" w:styleId="NormalWeb">
    <w:name w:val="Normal (Web)"/>
    <w:basedOn w:val="Normal"/>
    <w:uiPriority w:val="99"/>
    <w:unhideWhenUsed/>
    <w:rsid w:val="003E5A19"/>
    <w:pPr>
      <w:spacing w:before="100" w:beforeAutospacing="1" w:after="100" w:afterAutospacing="1"/>
    </w:pPr>
    <w:rPr>
      <w:rFonts w:ascii="Times" w:eastAsiaTheme="minorEastAsia" w:hAnsi="Times"/>
      <w:sz w:val="20"/>
      <w:szCs w:val="20"/>
      <w:lang w:eastAsia="en-US"/>
    </w:rPr>
  </w:style>
  <w:style w:type="character" w:customStyle="1" w:styleId="name">
    <w:name w:val="name"/>
    <w:basedOn w:val="DefaultParagraphFont"/>
    <w:rsid w:val="003103C6"/>
  </w:style>
  <w:style w:type="table" w:styleId="TableGrid">
    <w:name w:val="Table Grid"/>
    <w:basedOn w:val="TableNormal"/>
    <w:uiPriority w:val="59"/>
    <w:rsid w:val="00F5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6A57"/>
    <w:rPr>
      <w:rFonts w:ascii="Times New Roman" w:eastAsia="MS Mincho" w:hAnsi="Times New Roman" w:cs="Times New Roman"/>
      <w:lang w:eastAsia="ja-JP"/>
    </w:rPr>
  </w:style>
  <w:style w:type="paragraph" w:customStyle="1" w:styleId="info">
    <w:name w:val="info"/>
    <w:basedOn w:val="Normal"/>
    <w:rsid w:val="009B5962"/>
    <w:pPr>
      <w:spacing w:before="100" w:beforeAutospacing="1" w:after="100" w:afterAutospacing="1"/>
    </w:pPr>
    <w:rPr>
      <w:rFonts w:ascii="Times" w:eastAsiaTheme="minorEastAsia" w:hAnsi="Times" w:cstheme="minorBidi"/>
      <w:sz w:val="20"/>
      <w:szCs w:val="20"/>
      <w:lang w:eastAsia="en-US"/>
    </w:rPr>
  </w:style>
  <w:style w:type="character" w:customStyle="1" w:styleId="authors">
    <w:name w:val="authors"/>
    <w:basedOn w:val="DefaultParagraphFont"/>
    <w:rsid w:val="009B5962"/>
  </w:style>
  <w:style w:type="character" w:styleId="HTMLCite">
    <w:name w:val="HTML Cite"/>
    <w:basedOn w:val="DefaultParagraphFont"/>
    <w:uiPriority w:val="99"/>
    <w:semiHidden/>
    <w:unhideWhenUsed/>
    <w:rsid w:val="00517C42"/>
    <w:rPr>
      <w:i/>
      <w:iCs/>
    </w:rPr>
  </w:style>
  <w:style w:type="paragraph" w:styleId="BodyTextIndent">
    <w:name w:val="Body Text Indent"/>
    <w:basedOn w:val="Normal"/>
    <w:link w:val="BodyTextIndentChar"/>
    <w:rsid w:val="0064515E"/>
    <w:pPr>
      <w:ind w:firstLine="720"/>
    </w:pPr>
    <w:rPr>
      <w:rFonts w:eastAsia="Times New Roman"/>
      <w:lang w:eastAsia="en-US"/>
    </w:rPr>
  </w:style>
  <w:style w:type="character" w:customStyle="1" w:styleId="BodyTextIndentChar">
    <w:name w:val="Body Text Indent Char"/>
    <w:basedOn w:val="DefaultParagraphFont"/>
    <w:link w:val="BodyTextIndent"/>
    <w:rsid w:val="0064515E"/>
    <w:rPr>
      <w:rFonts w:ascii="Times New Roman" w:eastAsia="Times New Roman" w:hAnsi="Times New Roman" w:cs="Times New Roman"/>
    </w:rPr>
  </w:style>
  <w:style w:type="character" w:customStyle="1" w:styleId="a-size-extra-large">
    <w:name w:val="a-size-extra-large"/>
    <w:basedOn w:val="DefaultParagraphFont"/>
    <w:rsid w:val="005B6437"/>
  </w:style>
  <w:style w:type="character" w:customStyle="1" w:styleId="journaltitle">
    <w:name w:val="journaltitle"/>
    <w:basedOn w:val="DefaultParagraphFont"/>
    <w:rsid w:val="0040251D"/>
  </w:style>
  <w:style w:type="character" w:customStyle="1" w:styleId="articlecitationyear">
    <w:name w:val="articlecitation_year"/>
    <w:basedOn w:val="DefaultParagraphFont"/>
    <w:rsid w:val="0040251D"/>
  </w:style>
  <w:style w:type="character" w:customStyle="1" w:styleId="articlecitationvolume">
    <w:name w:val="articlecitation_volume"/>
    <w:basedOn w:val="DefaultParagraphFont"/>
    <w:rsid w:val="0040251D"/>
  </w:style>
  <w:style w:type="character" w:customStyle="1" w:styleId="articlecitationpages">
    <w:name w:val="articlecitation_pages"/>
    <w:basedOn w:val="DefaultParagraphFont"/>
    <w:rsid w:val="0040251D"/>
  </w:style>
  <w:style w:type="character" w:customStyle="1" w:styleId="authorname">
    <w:name w:val="authorname"/>
    <w:basedOn w:val="DefaultParagraphFont"/>
    <w:rsid w:val="0040251D"/>
  </w:style>
  <w:style w:type="paragraph" w:styleId="Footer">
    <w:name w:val="footer"/>
    <w:basedOn w:val="Normal"/>
    <w:link w:val="FooterChar"/>
    <w:uiPriority w:val="99"/>
    <w:unhideWhenUsed/>
    <w:rsid w:val="00340828"/>
    <w:pPr>
      <w:tabs>
        <w:tab w:val="center" w:pos="4320"/>
        <w:tab w:val="right" w:pos="8640"/>
      </w:tabs>
    </w:pPr>
  </w:style>
  <w:style w:type="character" w:customStyle="1" w:styleId="FooterChar">
    <w:name w:val="Footer Char"/>
    <w:basedOn w:val="DefaultParagraphFont"/>
    <w:link w:val="Footer"/>
    <w:uiPriority w:val="99"/>
    <w:rsid w:val="00340828"/>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340828"/>
  </w:style>
  <w:style w:type="character" w:styleId="FollowedHyperlink">
    <w:name w:val="FollowedHyperlink"/>
    <w:basedOn w:val="DefaultParagraphFont"/>
    <w:uiPriority w:val="99"/>
    <w:semiHidden/>
    <w:unhideWhenUsed/>
    <w:rsid w:val="008142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B9"/>
    <w:rPr>
      <w:rFonts w:ascii="Times New Roman" w:eastAsia="MS Mincho" w:hAnsi="Times New Roman" w:cs="Times New Roman"/>
      <w:lang w:eastAsia="ja-JP"/>
    </w:rPr>
  </w:style>
  <w:style w:type="paragraph" w:styleId="Heading1">
    <w:name w:val="heading 1"/>
    <w:basedOn w:val="Normal"/>
    <w:link w:val="Heading1Char"/>
    <w:uiPriority w:val="9"/>
    <w:qFormat/>
    <w:rsid w:val="00687408"/>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5B9"/>
    <w:rPr>
      <w:color w:val="0000FF"/>
      <w:u w:val="single"/>
    </w:rPr>
  </w:style>
  <w:style w:type="character" w:styleId="EndnoteReference">
    <w:name w:val="endnote reference"/>
    <w:basedOn w:val="DefaultParagraphFont"/>
    <w:semiHidden/>
    <w:rsid w:val="00527480"/>
    <w:rPr>
      <w:vertAlign w:val="superscript"/>
    </w:rPr>
  </w:style>
  <w:style w:type="paragraph" w:styleId="EndnoteText">
    <w:name w:val="endnote text"/>
    <w:basedOn w:val="Normal"/>
    <w:link w:val="EndnoteTextChar"/>
    <w:semiHidden/>
    <w:rsid w:val="00527480"/>
    <w:rPr>
      <w:sz w:val="20"/>
      <w:szCs w:val="20"/>
    </w:rPr>
  </w:style>
  <w:style w:type="character" w:customStyle="1" w:styleId="EndnoteTextChar">
    <w:name w:val="Endnote Text Char"/>
    <w:basedOn w:val="DefaultParagraphFont"/>
    <w:link w:val="EndnoteText"/>
    <w:semiHidden/>
    <w:rsid w:val="00527480"/>
    <w:rPr>
      <w:rFonts w:ascii="Times New Roman" w:eastAsia="MS Mincho" w:hAnsi="Times New Roman" w:cs="Times New Roman"/>
      <w:sz w:val="20"/>
      <w:szCs w:val="20"/>
      <w:lang w:eastAsia="ja-JP"/>
    </w:rPr>
  </w:style>
  <w:style w:type="character" w:styleId="Emphasis">
    <w:name w:val="Emphasis"/>
    <w:basedOn w:val="DefaultParagraphFont"/>
    <w:uiPriority w:val="20"/>
    <w:qFormat/>
    <w:rsid w:val="00527480"/>
    <w:rPr>
      <w:i/>
      <w:iCs/>
    </w:rPr>
  </w:style>
  <w:style w:type="character" w:customStyle="1" w:styleId="Heading1Char">
    <w:name w:val="Heading 1 Char"/>
    <w:basedOn w:val="DefaultParagraphFont"/>
    <w:link w:val="Heading1"/>
    <w:uiPriority w:val="9"/>
    <w:rsid w:val="00687408"/>
    <w:rPr>
      <w:rFonts w:ascii="Times" w:hAnsi="Times"/>
      <w:b/>
      <w:bCs/>
      <w:kern w:val="36"/>
      <w:sz w:val="48"/>
      <w:szCs w:val="48"/>
    </w:rPr>
  </w:style>
  <w:style w:type="paragraph" w:styleId="FootnoteText">
    <w:name w:val="footnote text"/>
    <w:basedOn w:val="Normal"/>
    <w:link w:val="FootnoteTextChar"/>
    <w:uiPriority w:val="99"/>
    <w:unhideWhenUsed/>
    <w:rsid w:val="00216DF8"/>
  </w:style>
  <w:style w:type="character" w:customStyle="1" w:styleId="FootnoteTextChar">
    <w:name w:val="Footnote Text Char"/>
    <w:basedOn w:val="DefaultParagraphFont"/>
    <w:link w:val="FootnoteText"/>
    <w:uiPriority w:val="99"/>
    <w:rsid w:val="00216DF8"/>
    <w:rPr>
      <w:rFonts w:ascii="Times New Roman" w:eastAsia="MS Mincho" w:hAnsi="Times New Roman" w:cs="Times New Roman"/>
      <w:lang w:eastAsia="ja-JP"/>
    </w:rPr>
  </w:style>
  <w:style w:type="character" w:styleId="FootnoteReference">
    <w:name w:val="footnote reference"/>
    <w:basedOn w:val="DefaultParagraphFont"/>
    <w:uiPriority w:val="99"/>
    <w:unhideWhenUsed/>
    <w:rsid w:val="00216DF8"/>
    <w:rPr>
      <w:vertAlign w:val="superscript"/>
    </w:rPr>
  </w:style>
  <w:style w:type="character" w:customStyle="1" w:styleId="apple-converted-space">
    <w:name w:val="apple-converted-space"/>
    <w:basedOn w:val="DefaultParagraphFont"/>
    <w:rsid w:val="0020711C"/>
  </w:style>
  <w:style w:type="character" w:styleId="Strong">
    <w:name w:val="Strong"/>
    <w:basedOn w:val="DefaultParagraphFont"/>
    <w:uiPriority w:val="22"/>
    <w:qFormat/>
    <w:rsid w:val="00473056"/>
    <w:rPr>
      <w:b/>
      <w:bCs/>
    </w:rPr>
  </w:style>
  <w:style w:type="paragraph" w:styleId="NormalWeb">
    <w:name w:val="Normal (Web)"/>
    <w:basedOn w:val="Normal"/>
    <w:uiPriority w:val="99"/>
    <w:unhideWhenUsed/>
    <w:rsid w:val="003E5A19"/>
    <w:pPr>
      <w:spacing w:before="100" w:beforeAutospacing="1" w:after="100" w:afterAutospacing="1"/>
    </w:pPr>
    <w:rPr>
      <w:rFonts w:ascii="Times" w:eastAsiaTheme="minorEastAsia" w:hAnsi="Times"/>
      <w:sz w:val="20"/>
      <w:szCs w:val="20"/>
      <w:lang w:eastAsia="en-US"/>
    </w:rPr>
  </w:style>
  <w:style w:type="character" w:customStyle="1" w:styleId="name">
    <w:name w:val="name"/>
    <w:basedOn w:val="DefaultParagraphFont"/>
    <w:rsid w:val="003103C6"/>
  </w:style>
  <w:style w:type="table" w:styleId="TableGrid">
    <w:name w:val="Table Grid"/>
    <w:basedOn w:val="TableNormal"/>
    <w:uiPriority w:val="59"/>
    <w:rsid w:val="00F5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6A57"/>
    <w:rPr>
      <w:rFonts w:ascii="Times New Roman" w:eastAsia="MS Mincho" w:hAnsi="Times New Roman" w:cs="Times New Roman"/>
      <w:lang w:eastAsia="ja-JP"/>
    </w:rPr>
  </w:style>
  <w:style w:type="paragraph" w:customStyle="1" w:styleId="info">
    <w:name w:val="info"/>
    <w:basedOn w:val="Normal"/>
    <w:rsid w:val="009B5962"/>
    <w:pPr>
      <w:spacing w:before="100" w:beforeAutospacing="1" w:after="100" w:afterAutospacing="1"/>
    </w:pPr>
    <w:rPr>
      <w:rFonts w:ascii="Times" w:eastAsiaTheme="minorEastAsia" w:hAnsi="Times" w:cstheme="minorBidi"/>
      <w:sz w:val="20"/>
      <w:szCs w:val="20"/>
      <w:lang w:eastAsia="en-US"/>
    </w:rPr>
  </w:style>
  <w:style w:type="character" w:customStyle="1" w:styleId="authors">
    <w:name w:val="authors"/>
    <w:basedOn w:val="DefaultParagraphFont"/>
    <w:rsid w:val="009B5962"/>
  </w:style>
  <w:style w:type="character" w:styleId="HTMLCite">
    <w:name w:val="HTML Cite"/>
    <w:basedOn w:val="DefaultParagraphFont"/>
    <w:uiPriority w:val="99"/>
    <w:semiHidden/>
    <w:unhideWhenUsed/>
    <w:rsid w:val="00517C42"/>
    <w:rPr>
      <w:i/>
      <w:iCs/>
    </w:rPr>
  </w:style>
  <w:style w:type="paragraph" w:styleId="BodyTextIndent">
    <w:name w:val="Body Text Indent"/>
    <w:basedOn w:val="Normal"/>
    <w:link w:val="BodyTextIndentChar"/>
    <w:rsid w:val="0064515E"/>
    <w:pPr>
      <w:ind w:firstLine="720"/>
    </w:pPr>
    <w:rPr>
      <w:rFonts w:eastAsia="Times New Roman"/>
      <w:lang w:eastAsia="en-US"/>
    </w:rPr>
  </w:style>
  <w:style w:type="character" w:customStyle="1" w:styleId="BodyTextIndentChar">
    <w:name w:val="Body Text Indent Char"/>
    <w:basedOn w:val="DefaultParagraphFont"/>
    <w:link w:val="BodyTextIndent"/>
    <w:rsid w:val="0064515E"/>
    <w:rPr>
      <w:rFonts w:ascii="Times New Roman" w:eastAsia="Times New Roman" w:hAnsi="Times New Roman" w:cs="Times New Roman"/>
    </w:rPr>
  </w:style>
  <w:style w:type="character" w:customStyle="1" w:styleId="a-size-extra-large">
    <w:name w:val="a-size-extra-large"/>
    <w:basedOn w:val="DefaultParagraphFont"/>
    <w:rsid w:val="005B6437"/>
  </w:style>
  <w:style w:type="character" w:customStyle="1" w:styleId="journaltitle">
    <w:name w:val="journaltitle"/>
    <w:basedOn w:val="DefaultParagraphFont"/>
    <w:rsid w:val="0040251D"/>
  </w:style>
  <w:style w:type="character" w:customStyle="1" w:styleId="articlecitationyear">
    <w:name w:val="articlecitation_year"/>
    <w:basedOn w:val="DefaultParagraphFont"/>
    <w:rsid w:val="0040251D"/>
  </w:style>
  <w:style w:type="character" w:customStyle="1" w:styleId="articlecitationvolume">
    <w:name w:val="articlecitation_volume"/>
    <w:basedOn w:val="DefaultParagraphFont"/>
    <w:rsid w:val="0040251D"/>
  </w:style>
  <w:style w:type="character" w:customStyle="1" w:styleId="articlecitationpages">
    <w:name w:val="articlecitation_pages"/>
    <w:basedOn w:val="DefaultParagraphFont"/>
    <w:rsid w:val="0040251D"/>
  </w:style>
  <w:style w:type="character" w:customStyle="1" w:styleId="authorname">
    <w:name w:val="authorname"/>
    <w:basedOn w:val="DefaultParagraphFont"/>
    <w:rsid w:val="0040251D"/>
  </w:style>
  <w:style w:type="paragraph" w:styleId="Footer">
    <w:name w:val="footer"/>
    <w:basedOn w:val="Normal"/>
    <w:link w:val="FooterChar"/>
    <w:uiPriority w:val="99"/>
    <w:unhideWhenUsed/>
    <w:rsid w:val="00340828"/>
    <w:pPr>
      <w:tabs>
        <w:tab w:val="center" w:pos="4320"/>
        <w:tab w:val="right" w:pos="8640"/>
      </w:tabs>
    </w:pPr>
  </w:style>
  <w:style w:type="character" w:customStyle="1" w:styleId="FooterChar">
    <w:name w:val="Footer Char"/>
    <w:basedOn w:val="DefaultParagraphFont"/>
    <w:link w:val="Footer"/>
    <w:uiPriority w:val="99"/>
    <w:rsid w:val="00340828"/>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340828"/>
  </w:style>
  <w:style w:type="character" w:styleId="FollowedHyperlink">
    <w:name w:val="FollowedHyperlink"/>
    <w:basedOn w:val="DefaultParagraphFont"/>
    <w:uiPriority w:val="99"/>
    <w:semiHidden/>
    <w:unhideWhenUsed/>
    <w:rsid w:val="00814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709">
      <w:bodyDiv w:val="1"/>
      <w:marLeft w:val="0"/>
      <w:marRight w:val="0"/>
      <w:marTop w:val="0"/>
      <w:marBottom w:val="0"/>
      <w:divBdr>
        <w:top w:val="none" w:sz="0" w:space="0" w:color="auto"/>
        <w:left w:val="none" w:sz="0" w:space="0" w:color="auto"/>
        <w:bottom w:val="none" w:sz="0" w:space="0" w:color="auto"/>
        <w:right w:val="none" w:sz="0" w:space="0" w:color="auto"/>
      </w:divBdr>
    </w:div>
    <w:div w:id="133834800">
      <w:bodyDiv w:val="1"/>
      <w:marLeft w:val="0"/>
      <w:marRight w:val="0"/>
      <w:marTop w:val="0"/>
      <w:marBottom w:val="0"/>
      <w:divBdr>
        <w:top w:val="none" w:sz="0" w:space="0" w:color="auto"/>
        <w:left w:val="none" w:sz="0" w:space="0" w:color="auto"/>
        <w:bottom w:val="none" w:sz="0" w:space="0" w:color="auto"/>
        <w:right w:val="none" w:sz="0" w:space="0" w:color="auto"/>
      </w:divBdr>
    </w:div>
    <w:div w:id="146283074">
      <w:bodyDiv w:val="1"/>
      <w:marLeft w:val="0"/>
      <w:marRight w:val="0"/>
      <w:marTop w:val="0"/>
      <w:marBottom w:val="0"/>
      <w:divBdr>
        <w:top w:val="none" w:sz="0" w:space="0" w:color="auto"/>
        <w:left w:val="none" w:sz="0" w:space="0" w:color="auto"/>
        <w:bottom w:val="none" w:sz="0" w:space="0" w:color="auto"/>
        <w:right w:val="none" w:sz="0" w:space="0" w:color="auto"/>
      </w:divBdr>
    </w:div>
    <w:div w:id="161622567">
      <w:bodyDiv w:val="1"/>
      <w:marLeft w:val="0"/>
      <w:marRight w:val="0"/>
      <w:marTop w:val="0"/>
      <w:marBottom w:val="0"/>
      <w:divBdr>
        <w:top w:val="none" w:sz="0" w:space="0" w:color="auto"/>
        <w:left w:val="none" w:sz="0" w:space="0" w:color="auto"/>
        <w:bottom w:val="none" w:sz="0" w:space="0" w:color="auto"/>
        <w:right w:val="none" w:sz="0" w:space="0" w:color="auto"/>
      </w:divBdr>
    </w:div>
    <w:div w:id="162480190">
      <w:bodyDiv w:val="1"/>
      <w:marLeft w:val="0"/>
      <w:marRight w:val="0"/>
      <w:marTop w:val="0"/>
      <w:marBottom w:val="0"/>
      <w:divBdr>
        <w:top w:val="none" w:sz="0" w:space="0" w:color="auto"/>
        <w:left w:val="none" w:sz="0" w:space="0" w:color="auto"/>
        <w:bottom w:val="none" w:sz="0" w:space="0" w:color="auto"/>
        <w:right w:val="none" w:sz="0" w:space="0" w:color="auto"/>
      </w:divBdr>
    </w:div>
    <w:div w:id="166873178">
      <w:bodyDiv w:val="1"/>
      <w:marLeft w:val="0"/>
      <w:marRight w:val="0"/>
      <w:marTop w:val="0"/>
      <w:marBottom w:val="0"/>
      <w:divBdr>
        <w:top w:val="none" w:sz="0" w:space="0" w:color="auto"/>
        <w:left w:val="none" w:sz="0" w:space="0" w:color="auto"/>
        <w:bottom w:val="none" w:sz="0" w:space="0" w:color="auto"/>
        <w:right w:val="none" w:sz="0" w:space="0" w:color="auto"/>
      </w:divBdr>
    </w:div>
    <w:div w:id="191846751">
      <w:bodyDiv w:val="1"/>
      <w:marLeft w:val="0"/>
      <w:marRight w:val="0"/>
      <w:marTop w:val="0"/>
      <w:marBottom w:val="0"/>
      <w:divBdr>
        <w:top w:val="none" w:sz="0" w:space="0" w:color="auto"/>
        <w:left w:val="none" w:sz="0" w:space="0" w:color="auto"/>
        <w:bottom w:val="none" w:sz="0" w:space="0" w:color="auto"/>
        <w:right w:val="none" w:sz="0" w:space="0" w:color="auto"/>
      </w:divBdr>
    </w:div>
    <w:div w:id="207228637">
      <w:bodyDiv w:val="1"/>
      <w:marLeft w:val="0"/>
      <w:marRight w:val="0"/>
      <w:marTop w:val="0"/>
      <w:marBottom w:val="0"/>
      <w:divBdr>
        <w:top w:val="none" w:sz="0" w:space="0" w:color="auto"/>
        <w:left w:val="none" w:sz="0" w:space="0" w:color="auto"/>
        <w:bottom w:val="none" w:sz="0" w:space="0" w:color="auto"/>
        <w:right w:val="none" w:sz="0" w:space="0" w:color="auto"/>
      </w:divBdr>
    </w:div>
    <w:div w:id="242570863">
      <w:bodyDiv w:val="1"/>
      <w:marLeft w:val="0"/>
      <w:marRight w:val="0"/>
      <w:marTop w:val="0"/>
      <w:marBottom w:val="0"/>
      <w:divBdr>
        <w:top w:val="none" w:sz="0" w:space="0" w:color="auto"/>
        <w:left w:val="none" w:sz="0" w:space="0" w:color="auto"/>
        <w:bottom w:val="none" w:sz="0" w:space="0" w:color="auto"/>
        <w:right w:val="none" w:sz="0" w:space="0" w:color="auto"/>
      </w:divBdr>
    </w:div>
    <w:div w:id="255721717">
      <w:bodyDiv w:val="1"/>
      <w:marLeft w:val="0"/>
      <w:marRight w:val="0"/>
      <w:marTop w:val="0"/>
      <w:marBottom w:val="0"/>
      <w:divBdr>
        <w:top w:val="none" w:sz="0" w:space="0" w:color="auto"/>
        <w:left w:val="none" w:sz="0" w:space="0" w:color="auto"/>
        <w:bottom w:val="none" w:sz="0" w:space="0" w:color="auto"/>
        <w:right w:val="none" w:sz="0" w:space="0" w:color="auto"/>
      </w:divBdr>
    </w:div>
    <w:div w:id="283007574">
      <w:bodyDiv w:val="1"/>
      <w:marLeft w:val="0"/>
      <w:marRight w:val="0"/>
      <w:marTop w:val="0"/>
      <w:marBottom w:val="0"/>
      <w:divBdr>
        <w:top w:val="none" w:sz="0" w:space="0" w:color="auto"/>
        <w:left w:val="none" w:sz="0" w:space="0" w:color="auto"/>
        <w:bottom w:val="none" w:sz="0" w:space="0" w:color="auto"/>
        <w:right w:val="none" w:sz="0" w:space="0" w:color="auto"/>
      </w:divBdr>
    </w:div>
    <w:div w:id="305282760">
      <w:bodyDiv w:val="1"/>
      <w:marLeft w:val="0"/>
      <w:marRight w:val="0"/>
      <w:marTop w:val="0"/>
      <w:marBottom w:val="0"/>
      <w:divBdr>
        <w:top w:val="none" w:sz="0" w:space="0" w:color="auto"/>
        <w:left w:val="none" w:sz="0" w:space="0" w:color="auto"/>
        <w:bottom w:val="none" w:sz="0" w:space="0" w:color="auto"/>
        <w:right w:val="none" w:sz="0" w:space="0" w:color="auto"/>
      </w:divBdr>
    </w:div>
    <w:div w:id="337276826">
      <w:bodyDiv w:val="1"/>
      <w:marLeft w:val="0"/>
      <w:marRight w:val="0"/>
      <w:marTop w:val="0"/>
      <w:marBottom w:val="0"/>
      <w:divBdr>
        <w:top w:val="none" w:sz="0" w:space="0" w:color="auto"/>
        <w:left w:val="none" w:sz="0" w:space="0" w:color="auto"/>
        <w:bottom w:val="none" w:sz="0" w:space="0" w:color="auto"/>
        <w:right w:val="none" w:sz="0" w:space="0" w:color="auto"/>
      </w:divBdr>
    </w:div>
    <w:div w:id="364719425">
      <w:bodyDiv w:val="1"/>
      <w:marLeft w:val="0"/>
      <w:marRight w:val="0"/>
      <w:marTop w:val="0"/>
      <w:marBottom w:val="0"/>
      <w:divBdr>
        <w:top w:val="none" w:sz="0" w:space="0" w:color="auto"/>
        <w:left w:val="none" w:sz="0" w:space="0" w:color="auto"/>
        <w:bottom w:val="none" w:sz="0" w:space="0" w:color="auto"/>
        <w:right w:val="none" w:sz="0" w:space="0" w:color="auto"/>
      </w:divBdr>
    </w:div>
    <w:div w:id="407457036">
      <w:bodyDiv w:val="1"/>
      <w:marLeft w:val="0"/>
      <w:marRight w:val="0"/>
      <w:marTop w:val="0"/>
      <w:marBottom w:val="0"/>
      <w:divBdr>
        <w:top w:val="none" w:sz="0" w:space="0" w:color="auto"/>
        <w:left w:val="none" w:sz="0" w:space="0" w:color="auto"/>
        <w:bottom w:val="none" w:sz="0" w:space="0" w:color="auto"/>
        <w:right w:val="none" w:sz="0" w:space="0" w:color="auto"/>
      </w:divBdr>
    </w:div>
    <w:div w:id="422923668">
      <w:bodyDiv w:val="1"/>
      <w:marLeft w:val="0"/>
      <w:marRight w:val="0"/>
      <w:marTop w:val="0"/>
      <w:marBottom w:val="0"/>
      <w:divBdr>
        <w:top w:val="none" w:sz="0" w:space="0" w:color="auto"/>
        <w:left w:val="none" w:sz="0" w:space="0" w:color="auto"/>
        <w:bottom w:val="none" w:sz="0" w:space="0" w:color="auto"/>
        <w:right w:val="none" w:sz="0" w:space="0" w:color="auto"/>
      </w:divBdr>
    </w:div>
    <w:div w:id="548148304">
      <w:bodyDiv w:val="1"/>
      <w:marLeft w:val="0"/>
      <w:marRight w:val="0"/>
      <w:marTop w:val="0"/>
      <w:marBottom w:val="0"/>
      <w:divBdr>
        <w:top w:val="none" w:sz="0" w:space="0" w:color="auto"/>
        <w:left w:val="none" w:sz="0" w:space="0" w:color="auto"/>
        <w:bottom w:val="none" w:sz="0" w:space="0" w:color="auto"/>
        <w:right w:val="none" w:sz="0" w:space="0" w:color="auto"/>
      </w:divBdr>
    </w:div>
    <w:div w:id="553853106">
      <w:bodyDiv w:val="1"/>
      <w:marLeft w:val="0"/>
      <w:marRight w:val="0"/>
      <w:marTop w:val="0"/>
      <w:marBottom w:val="0"/>
      <w:divBdr>
        <w:top w:val="none" w:sz="0" w:space="0" w:color="auto"/>
        <w:left w:val="none" w:sz="0" w:space="0" w:color="auto"/>
        <w:bottom w:val="none" w:sz="0" w:space="0" w:color="auto"/>
        <w:right w:val="none" w:sz="0" w:space="0" w:color="auto"/>
      </w:divBdr>
    </w:div>
    <w:div w:id="640378480">
      <w:bodyDiv w:val="1"/>
      <w:marLeft w:val="0"/>
      <w:marRight w:val="0"/>
      <w:marTop w:val="0"/>
      <w:marBottom w:val="0"/>
      <w:divBdr>
        <w:top w:val="none" w:sz="0" w:space="0" w:color="auto"/>
        <w:left w:val="none" w:sz="0" w:space="0" w:color="auto"/>
        <w:bottom w:val="none" w:sz="0" w:space="0" w:color="auto"/>
        <w:right w:val="none" w:sz="0" w:space="0" w:color="auto"/>
      </w:divBdr>
    </w:div>
    <w:div w:id="648676396">
      <w:bodyDiv w:val="1"/>
      <w:marLeft w:val="0"/>
      <w:marRight w:val="0"/>
      <w:marTop w:val="0"/>
      <w:marBottom w:val="0"/>
      <w:divBdr>
        <w:top w:val="none" w:sz="0" w:space="0" w:color="auto"/>
        <w:left w:val="none" w:sz="0" w:space="0" w:color="auto"/>
        <w:bottom w:val="none" w:sz="0" w:space="0" w:color="auto"/>
        <w:right w:val="none" w:sz="0" w:space="0" w:color="auto"/>
      </w:divBdr>
    </w:div>
    <w:div w:id="697701046">
      <w:bodyDiv w:val="1"/>
      <w:marLeft w:val="0"/>
      <w:marRight w:val="0"/>
      <w:marTop w:val="0"/>
      <w:marBottom w:val="0"/>
      <w:divBdr>
        <w:top w:val="none" w:sz="0" w:space="0" w:color="auto"/>
        <w:left w:val="none" w:sz="0" w:space="0" w:color="auto"/>
        <w:bottom w:val="none" w:sz="0" w:space="0" w:color="auto"/>
        <w:right w:val="none" w:sz="0" w:space="0" w:color="auto"/>
      </w:divBdr>
    </w:div>
    <w:div w:id="802696266">
      <w:bodyDiv w:val="1"/>
      <w:marLeft w:val="0"/>
      <w:marRight w:val="0"/>
      <w:marTop w:val="0"/>
      <w:marBottom w:val="0"/>
      <w:divBdr>
        <w:top w:val="none" w:sz="0" w:space="0" w:color="auto"/>
        <w:left w:val="none" w:sz="0" w:space="0" w:color="auto"/>
        <w:bottom w:val="none" w:sz="0" w:space="0" w:color="auto"/>
        <w:right w:val="none" w:sz="0" w:space="0" w:color="auto"/>
      </w:divBdr>
    </w:div>
    <w:div w:id="833842934">
      <w:bodyDiv w:val="1"/>
      <w:marLeft w:val="0"/>
      <w:marRight w:val="0"/>
      <w:marTop w:val="0"/>
      <w:marBottom w:val="0"/>
      <w:divBdr>
        <w:top w:val="none" w:sz="0" w:space="0" w:color="auto"/>
        <w:left w:val="none" w:sz="0" w:space="0" w:color="auto"/>
        <w:bottom w:val="none" w:sz="0" w:space="0" w:color="auto"/>
        <w:right w:val="none" w:sz="0" w:space="0" w:color="auto"/>
      </w:divBdr>
    </w:div>
    <w:div w:id="842280996">
      <w:bodyDiv w:val="1"/>
      <w:marLeft w:val="0"/>
      <w:marRight w:val="0"/>
      <w:marTop w:val="0"/>
      <w:marBottom w:val="0"/>
      <w:divBdr>
        <w:top w:val="none" w:sz="0" w:space="0" w:color="auto"/>
        <w:left w:val="none" w:sz="0" w:space="0" w:color="auto"/>
        <w:bottom w:val="none" w:sz="0" w:space="0" w:color="auto"/>
        <w:right w:val="none" w:sz="0" w:space="0" w:color="auto"/>
      </w:divBdr>
    </w:div>
    <w:div w:id="846483369">
      <w:bodyDiv w:val="1"/>
      <w:marLeft w:val="0"/>
      <w:marRight w:val="0"/>
      <w:marTop w:val="0"/>
      <w:marBottom w:val="0"/>
      <w:divBdr>
        <w:top w:val="none" w:sz="0" w:space="0" w:color="auto"/>
        <w:left w:val="none" w:sz="0" w:space="0" w:color="auto"/>
        <w:bottom w:val="none" w:sz="0" w:space="0" w:color="auto"/>
        <w:right w:val="none" w:sz="0" w:space="0" w:color="auto"/>
      </w:divBdr>
    </w:div>
    <w:div w:id="911621894">
      <w:bodyDiv w:val="1"/>
      <w:marLeft w:val="0"/>
      <w:marRight w:val="0"/>
      <w:marTop w:val="0"/>
      <w:marBottom w:val="0"/>
      <w:divBdr>
        <w:top w:val="none" w:sz="0" w:space="0" w:color="auto"/>
        <w:left w:val="none" w:sz="0" w:space="0" w:color="auto"/>
        <w:bottom w:val="none" w:sz="0" w:space="0" w:color="auto"/>
        <w:right w:val="none" w:sz="0" w:space="0" w:color="auto"/>
      </w:divBdr>
    </w:div>
    <w:div w:id="1003239426">
      <w:bodyDiv w:val="1"/>
      <w:marLeft w:val="0"/>
      <w:marRight w:val="0"/>
      <w:marTop w:val="0"/>
      <w:marBottom w:val="0"/>
      <w:divBdr>
        <w:top w:val="none" w:sz="0" w:space="0" w:color="auto"/>
        <w:left w:val="none" w:sz="0" w:space="0" w:color="auto"/>
        <w:bottom w:val="none" w:sz="0" w:space="0" w:color="auto"/>
        <w:right w:val="none" w:sz="0" w:space="0" w:color="auto"/>
      </w:divBdr>
    </w:div>
    <w:div w:id="1027605773">
      <w:bodyDiv w:val="1"/>
      <w:marLeft w:val="0"/>
      <w:marRight w:val="0"/>
      <w:marTop w:val="0"/>
      <w:marBottom w:val="0"/>
      <w:divBdr>
        <w:top w:val="none" w:sz="0" w:space="0" w:color="auto"/>
        <w:left w:val="none" w:sz="0" w:space="0" w:color="auto"/>
        <w:bottom w:val="none" w:sz="0" w:space="0" w:color="auto"/>
        <w:right w:val="none" w:sz="0" w:space="0" w:color="auto"/>
      </w:divBdr>
    </w:div>
    <w:div w:id="1047993053">
      <w:bodyDiv w:val="1"/>
      <w:marLeft w:val="0"/>
      <w:marRight w:val="0"/>
      <w:marTop w:val="0"/>
      <w:marBottom w:val="0"/>
      <w:divBdr>
        <w:top w:val="none" w:sz="0" w:space="0" w:color="auto"/>
        <w:left w:val="none" w:sz="0" w:space="0" w:color="auto"/>
        <w:bottom w:val="none" w:sz="0" w:space="0" w:color="auto"/>
        <w:right w:val="none" w:sz="0" w:space="0" w:color="auto"/>
      </w:divBdr>
    </w:div>
    <w:div w:id="1075320224">
      <w:bodyDiv w:val="1"/>
      <w:marLeft w:val="0"/>
      <w:marRight w:val="0"/>
      <w:marTop w:val="0"/>
      <w:marBottom w:val="0"/>
      <w:divBdr>
        <w:top w:val="none" w:sz="0" w:space="0" w:color="auto"/>
        <w:left w:val="none" w:sz="0" w:space="0" w:color="auto"/>
        <w:bottom w:val="none" w:sz="0" w:space="0" w:color="auto"/>
        <w:right w:val="none" w:sz="0" w:space="0" w:color="auto"/>
      </w:divBdr>
    </w:div>
    <w:div w:id="1086996465">
      <w:bodyDiv w:val="1"/>
      <w:marLeft w:val="0"/>
      <w:marRight w:val="0"/>
      <w:marTop w:val="0"/>
      <w:marBottom w:val="0"/>
      <w:divBdr>
        <w:top w:val="none" w:sz="0" w:space="0" w:color="auto"/>
        <w:left w:val="none" w:sz="0" w:space="0" w:color="auto"/>
        <w:bottom w:val="none" w:sz="0" w:space="0" w:color="auto"/>
        <w:right w:val="none" w:sz="0" w:space="0" w:color="auto"/>
      </w:divBdr>
    </w:div>
    <w:div w:id="1102190987">
      <w:bodyDiv w:val="1"/>
      <w:marLeft w:val="0"/>
      <w:marRight w:val="0"/>
      <w:marTop w:val="0"/>
      <w:marBottom w:val="0"/>
      <w:divBdr>
        <w:top w:val="none" w:sz="0" w:space="0" w:color="auto"/>
        <w:left w:val="none" w:sz="0" w:space="0" w:color="auto"/>
        <w:bottom w:val="none" w:sz="0" w:space="0" w:color="auto"/>
        <w:right w:val="none" w:sz="0" w:space="0" w:color="auto"/>
      </w:divBdr>
    </w:div>
    <w:div w:id="1111240451">
      <w:bodyDiv w:val="1"/>
      <w:marLeft w:val="0"/>
      <w:marRight w:val="0"/>
      <w:marTop w:val="0"/>
      <w:marBottom w:val="0"/>
      <w:divBdr>
        <w:top w:val="none" w:sz="0" w:space="0" w:color="auto"/>
        <w:left w:val="none" w:sz="0" w:space="0" w:color="auto"/>
        <w:bottom w:val="none" w:sz="0" w:space="0" w:color="auto"/>
        <w:right w:val="none" w:sz="0" w:space="0" w:color="auto"/>
      </w:divBdr>
    </w:div>
    <w:div w:id="1152990790">
      <w:bodyDiv w:val="1"/>
      <w:marLeft w:val="0"/>
      <w:marRight w:val="0"/>
      <w:marTop w:val="0"/>
      <w:marBottom w:val="0"/>
      <w:divBdr>
        <w:top w:val="none" w:sz="0" w:space="0" w:color="auto"/>
        <w:left w:val="none" w:sz="0" w:space="0" w:color="auto"/>
        <w:bottom w:val="none" w:sz="0" w:space="0" w:color="auto"/>
        <w:right w:val="none" w:sz="0" w:space="0" w:color="auto"/>
      </w:divBdr>
    </w:div>
    <w:div w:id="1175071516">
      <w:bodyDiv w:val="1"/>
      <w:marLeft w:val="0"/>
      <w:marRight w:val="0"/>
      <w:marTop w:val="0"/>
      <w:marBottom w:val="0"/>
      <w:divBdr>
        <w:top w:val="none" w:sz="0" w:space="0" w:color="auto"/>
        <w:left w:val="none" w:sz="0" w:space="0" w:color="auto"/>
        <w:bottom w:val="none" w:sz="0" w:space="0" w:color="auto"/>
        <w:right w:val="none" w:sz="0" w:space="0" w:color="auto"/>
      </w:divBdr>
    </w:div>
    <w:div w:id="1240944379">
      <w:bodyDiv w:val="1"/>
      <w:marLeft w:val="0"/>
      <w:marRight w:val="0"/>
      <w:marTop w:val="0"/>
      <w:marBottom w:val="0"/>
      <w:divBdr>
        <w:top w:val="none" w:sz="0" w:space="0" w:color="auto"/>
        <w:left w:val="none" w:sz="0" w:space="0" w:color="auto"/>
        <w:bottom w:val="none" w:sz="0" w:space="0" w:color="auto"/>
        <w:right w:val="none" w:sz="0" w:space="0" w:color="auto"/>
      </w:divBdr>
    </w:div>
    <w:div w:id="1271623578">
      <w:bodyDiv w:val="1"/>
      <w:marLeft w:val="0"/>
      <w:marRight w:val="0"/>
      <w:marTop w:val="0"/>
      <w:marBottom w:val="0"/>
      <w:divBdr>
        <w:top w:val="none" w:sz="0" w:space="0" w:color="auto"/>
        <w:left w:val="none" w:sz="0" w:space="0" w:color="auto"/>
        <w:bottom w:val="none" w:sz="0" w:space="0" w:color="auto"/>
        <w:right w:val="none" w:sz="0" w:space="0" w:color="auto"/>
      </w:divBdr>
    </w:div>
    <w:div w:id="1279333197">
      <w:bodyDiv w:val="1"/>
      <w:marLeft w:val="0"/>
      <w:marRight w:val="0"/>
      <w:marTop w:val="0"/>
      <w:marBottom w:val="0"/>
      <w:divBdr>
        <w:top w:val="none" w:sz="0" w:space="0" w:color="auto"/>
        <w:left w:val="none" w:sz="0" w:space="0" w:color="auto"/>
        <w:bottom w:val="none" w:sz="0" w:space="0" w:color="auto"/>
        <w:right w:val="none" w:sz="0" w:space="0" w:color="auto"/>
      </w:divBdr>
    </w:div>
    <w:div w:id="1291090215">
      <w:bodyDiv w:val="1"/>
      <w:marLeft w:val="0"/>
      <w:marRight w:val="0"/>
      <w:marTop w:val="0"/>
      <w:marBottom w:val="0"/>
      <w:divBdr>
        <w:top w:val="none" w:sz="0" w:space="0" w:color="auto"/>
        <w:left w:val="none" w:sz="0" w:space="0" w:color="auto"/>
        <w:bottom w:val="none" w:sz="0" w:space="0" w:color="auto"/>
        <w:right w:val="none" w:sz="0" w:space="0" w:color="auto"/>
      </w:divBdr>
    </w:div>
    <w:div w:id="1297177396">
      <w:bodyDiv w:val="1"/>
      <w:marLeft w:val="0"/>
      <w:marRight w:val="0"/>
      <w:marTop w:val="0"/>
      <w:marBottom w:val="0"/>
      <w:divBdr>
        <w:top w:val="none" w:sz="0" w:space="0" w:color="auto"/>
        <w:left w:val="none" w:sz="0" w:space="0" w:color="auto"/>
        <w:bottom w:val="none" w:sz="0" w:space="0" w:color="auto"/>
        <w:right w:val="none" w:sz="0" w:space="0" w:color="auto"/>
      </w:divBdr>
      <w:divsChild>
        <w:div w:id="970600544">
          <w:marLeft w:val="0"/>
          <w:marRight w:val="0"/>
          <w:marTop w:val="210"/>
          <w:marBottom w:val="45"/>
          <w:divBdr>
            <w:top w:val="none" w:sz="0" w:space="0" w:color="auto"/>
            <w:left w:val="none" w:sz="0" w:space="0" w:color="auto"/>
            <w:bottom w:val="none" w:sz="0" w:space="0" w:color="auto"/>
            <w:right w:val="none" w:sz="0" w:space="0" w:color="auto"/>
          </w:divBdr>
        </w:div>
        <w:div w:id="1631745871">
          <w:marLeft w:val="0"/>
          <w:marRight w:val="0"/>
          <w:marTop w:val="210"/>
          <w:marBottom w:val="105"/>
          <w:divBdr>
            <w:top w:val="none" w:sz="0" w:space="0" w:color="auto"/>
            <w:left w:val="none" w:sz="0" w:space="0" w:color="auto"/>
            <w:bottom w:val="none" w:sz="0" w:space="0" w:color="auto"/>
            <w:right w:val="none" w:sz="0" w:space="0" w:color="auto"/>
          </w:divBdr>
        </w:div>
      </w:divsChild>
    </w:div>
    <w:div w:id="1303390648">
      <w:bodyDiv w:val="1"/>
      <w:marLeft w:val="0"/>
      <w:marRight w:val="0"/>
      <w:marTop w:val="0"/>
      <w:marBottom w:val="0"/>
      <w:divBdr>
        <w:top w:val="none" w:sz="0" w:space="0" w:color="auto"/>
        <w:left w:val="none" w:sz="0" w:space="0" w:color="auto"/>
        <w:bottom w:val="none" w:sz="0" w:space="0" w:color="auto"/>
        <w:right w:val="none" w:sz="0" w:space="0" w:color="auto"/>
      </w:divBdr>
    </w:div>
    <w:div w:id="1311518940">
      <w:bodyDiv w:val="1"/>
      <w:marLeft w:val="0"/>
      <w:marRight w:val="0"/>
      <w:marTop w:val="0"/>
      <w:marBottom w:val="0"/>
      <w:divBdr>
        <w:top w:val="none" w:sz="0" w:space="0" w:color="auto"/>
        <w:left w:val="none" w:sz="0" w:space="0" w:color="auto"/>
        <w:bottom w:val="none" w:sz="0" w:space="0" w:color="auto"/>
        <w:right w:val="none" w:sz="0" w:space="0" w:color="auto"/>
      </w:divBdr>
    </w:div>
    <w:div w:id="1316684811">
      <w:bodyDiv w:val="1"/>
      <w:marLeft w:val="0"/>
      <w:marRight w:val="0"/>
      <w:marTop w:val="0"/>
      <w:marBottom w:val="0"/>
      <w:divBdr>
        <w:top w:val="none" w:sz="0" w:space="0" w:color="auto"/>
        <w:left w:val="none" w:sz="0" w:space="0" w:color="auto"/>
        <w:bottom w:val="none" w:sz="0" w:space="0" w:color="auto"/>
        <w:right w:val="none" w:sz="0" w:space="0" w:color="auto"/>
      </w:divBdr>
    </w:div>
    <w:div w:id="1337146444">
      <w:bodyDiv w:val="1"/>
      <w:marLeft w:val="0"/>
      <w:marRight w:val="0"/>
      <w:marTop w:val="0"/>
      <w:marBottom w:val="0"/>
      <w:divBdr>
        <w:top w:val="none" w:sz="0" w:space="0" w:color="auto"/>
        <w:left w:val="none" w:sz="0" w:space="0" w:color="auto"/>
        <w:bottom w:val="none" w:sz="0" w:space="0" w:color="auto"/>
        <w:right w:val="none" w:sz="0" w:space="0" w:color="auto"/>
      </w:divBdr>
    </w:div>
    <w:div w:id="1594632362">
      <w:bodyDiv w:val="1"/>
      <w:marLeft w:val="0"/>
      <w:marRight w:val="0"/>
      <w:marTop w:val="0"/>
      <w:marBottom w:val="0"/>
      <w:divBdr>
        <w:top w:val="none" w:sz="0" w:space="0" w:color="auto"/>
        <w:left w:val="none" w:sz="0" w:space="0" w:color="auto"/>
        <w:bottom w:val="none" w:sz="0" w:space="0" w:color="auto"/>
        <w:right w:val="none" w:sz="0" w:space="0" w:color="auto"/>
      </w:divBdr>
    </w:div>
    <w:div w:id="1678268563">
      <w:bodyDiv w:val="1"/>
      <w:marLeft w:val="0"/>
      <w:marRight w:val="0"/>
      <w:marTop w:val="0"/>
      <w:marBottom w:val="0"/>
      <w:divBdr>
        <w:top w:val="none" w:sz="0" w:space="0" w:color="auto"/>
        <w:left w:val="none" w:sz="0" w:space="0" w:color="auto"/>
        <w:bottom w:val="none" w:sz="0" w:space="0" w:color="auto"/>
        <w:right w:val="none" w:sz="0" w:space="0" w:color="auto"/>
      </w:divBdr>
    </w:div>
    <w:div w:id="1727683153">
      <w:bodyDiv w:val="1"/>
      <w:marLeft w:val="0"/>
      <w:marRight w:val="0"/>
      <w:marTop w:val="0"/>
      <w:marBottom w:val="0"/>
      <w:divBdr>
        <w:top w:val="none" w:sz="0" w:space="0" w:color="auto"/>
        <w:left w:val="none" w:sz="0" w:space="0" w:color="auto"/>
        <w:bottom w:val="none" w:sz="0" w:space="0" w:color="auto"/>
        <w:right w:val="none" w:sz="0" w:space="0" w:color="auto"/>
      </w:divBdr>
    </w:div>
    <w:div w:id="1773696293">
      <w:bodyDiv w:val="1"/>
      <w:marLeft w:val="0"/>
      <w:marRight w:val="0"/>
      <w:marTop w:val="0"/>
      <w:marBottom w:val="0"/>
      <w:divBdr>
        <w:top w:val="none" w:sz="0" w:space="0" w:color="auto"/>
        <w:left w:val="none" w:sz="0" w:space="0" w:color="auto"/>
        <w:bottom w:val="none" w:sz="0" w:space="0" w:color="auto"/>
        <w:right w:val="none" w:sz="0" w:space="0" w:color="auto"/>
      </w:divBdr>
    </w:div>
    <w:div w:id="1866401150">
      <w:bodyDiv w:val="1"/>
      <w:marLeft w:val="0"/>
      <w:marRight w:val="0"/>
      <w:marTop w:val="0"/>
      <w:marBottom w:val="0"/>
      <w:divBdr>
        <w:top w:val="none" w:sz="0" w:space="0" w:color="auto"/>
        <w:left w:val="none" w:sz="0" w:space="0" w:color="auto"/>
        <w:bottom w:val="none" w:sz="0" w:space="0" w:color="auto"/>
        <w:right w:val="none" w:sz="0" w:space="0" w:color="auto"/>
      </w:divBdr>
    </w:div>
    <w:div w:id="2019888680">
      <w:bodyDiv w:val="1"/>
      <w:marLeft w:val="0"/>
      <w:marRight w:val="0"/>
      <w:marTop w:val="0"/>
      <w:marBottom w:val="0"/>
      <w:divBdr>
        <w:top w:val="none" w:sz="0" w:space="0" w:color="auto"/>
        <w:left w:val="none" w:sz="0" w:space="0" w:color="auto"/>
        <w:bottom w:val="none" w:sz="0" w:space="0" w:color="auto"/>
        <w:right w:val="none" w:sz="0" w:space="0" w:color="auto"/>
      </w:divBdr>
    </w:div>
    <w:div w:id="2146702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odaca@vt.edu" TargetMode="External"/><Relationship Id="rId9" Type="http://schemas.openxmlformats.org/officeDocument/2006/relationships/hyperlink" Target="http://databank.worldbank.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5774</Words>
  <Characters>32916</Characters>
  <Application>Microsoft Macintosh Word</Application>
  <DocSecurity>0</DocSecurity>
  <Lines>274</Lines>
  <Paragraphs>77</Paragraphs>
  <ScaleCrop>false</ScaleCrop>
  <Company>Virginia Tech</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Apodaca</dc:creator>
  <cp:keywords/>
  <dc:description/>
  <cp:lastModifiedBy>Bayanne Alrawi</cp:lastModifiedBy>
  <cp:revision>2</cp:revision>
  <cp:lastPrinted>2016-01-19T14:31:00Z</cp:lastPrinted>
  <dcterms:created xsi:type="dcterms:W3CDTF">2016-01-25T23:36:00Z</dcterms:created>
  <dcterms:modified xsi:type="dcterms:W3CDTF">2016-01-25T23:36:00Z</dcterms:modified>
</cp:coreProperties>
</file>